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DB165" w14:textId="653C548D" w:rsidR="00326DF1" w:rsidRPr="00D76A5D" w:rsidRDefault="00D53388" w:rsidP="00576CCF">
      <w:pPr>
        <w:pStyle w:val="DescriptororName"/>
      </w:pPr>
      <w:r w:rsidRPr="00D53388">
        <w:rPr>
          <w:noProof/>
        </w:rPr>
        <w:drawing>
          <wp:inline distT="0" distB="0" distL="0" distR="0" wp14:anchorId="62043CF8" wp14:editId="5684A0EE">
            <wp:extent cx="840296" cy="728838"/>
            <wp:effectExtent l="0" t="0" r="0" b="0"/>
            <wp:docPr id="7" name="Picture 6" descr="A red and blue logo on a black background&#10;&#10;Description automatically generated">
              <a:extLst xmlns:a="http://schemas.openxmlformats.org/drawingml/2006/main">
                <a:ext uri="{FF2B5EF4-FFF2-40B4-BE49-F238E27FC236}">
                  <a16:creationId xmlns:a16="http://schemas.microsoft.com/office/drawing/2014/main" id="{087EE930-49B6-79E4-2139-91FA07C2B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and blue logo on a black background&#10;&#10;Description automatically generated">
                      <a:extLst>
                        <a:ext uri="{FF2B5EF4-FFF2-40B4-BE49-F238E27FC236}">
                          <a16:creationId xmlns:a16="http://schemas.microsoft.com/office/drawing/2014/main" id="{087EE930-49B6-79E4-2139-91FA07C2BB13}"/>
                        </a:ext>
                      </a:extLst>
                    </pic:cNvPr>
                    <pic:cNvPicPr>
                      <a:picLocks noChangeAspect="1"/>
                    </pic:cNvPicPr>
                  </pic:nvPicPr>
                  <pic:blipFill rotWithShape="1">
                    <a:blip r:embed="rId11"/>
                    <a:srcRect l="54933"/>
                    <a:stretch/>
                  </pic:blipFill>
                  <pic:spPr>
                    <a:xfrm>
                      <a:off x="0" y="0"/>
                      <a:ext cx="840296" cy="728838"/>
                    </a:xfrm>
                    <a:prstGeom prst="rect">
                      <a:avLst/>
                    </a:prstGeom>
                  </pic:spPr>
                </pic:pic>
              </a:graphicData>
            </a:graphic>
          </wp:inline>
        </w:drawing>
      </w:r>
      <w:r w:rsidR="00321722">
        <w:t xml:space="preserve"> </w:t>
      </w:r>
    </w:p>
    <w:p w14:paraId="5ABB329A" w14:textId="4D8E4C53" w:rsidR="00AD42F8" w:rsidRPr="00927174" w:rsidRDefault="00635A66" w:rsidP="00927174">
      <w:pPr>
        <w:pStyle w:val="DocumentType"/>
      </w:pPr>
      <w:sdt>
        <w:sdtPr>
          <w:id w:val="-1982835863"/>
          <w:placeholder>
            <w:docPart w:val="5B41A095B09A4E82A750717A51CD809D"/>
          </w:placeholder>
        </w:sdtPr>
        <w:sdtEndPr/>
        <w:sdtContent>
          <w:r w:rsidR="00405A9E">
            <w:t>Strategic Freight Model 2022 (SFM22)</w:t>
          </w:r>
        </w:sdtContent>
      </w:sdt>
      <w:r w:rsidR="00064974">
        <w:t xml:space="preserve"> </w:t>
      </w:r>
    </w:p>
    <w:p w14:paraId="5A911FA7" w14:textId="039411F9" w:rsidR="00AD42F8" w:rsidRPr="00286717" w:rsidRDefault="00635A66" w:rsidP="00286717">
      <w:pPr>
        <w:pStyle w:val="Heading1"/>
      </w:pPr>
      <w:sdt>
        <w:sdtPr>
          <w:alias w:val="Title"/>
          <w:tag w:val=""/>
          <w:id w:val="2064905903"/>
          <w:lock w:val="sdtLocked"/>
          <w:placeholder>
            <w:docPart w:val="6ACFCFE8E0C240108AC9C4995EFBB9AA"/>
          </w:placeholder>
          <w:dataBinding w:prefixMappings="xmlns:ns0='http://purl.org/dc/elements/1.1/' xmlns:ns1='http://schemas.openxmlformats.org/package/2006/metadata/core-properties' " w:xpath="/ns1:coreProperties[1]/ns0:title[1]" w:storeItemID="{6C3C8BC8-F283-45AE-878A-BAB7291924A1}"/>
          <w:text/>
        </w:sdtPr>
        <w:sdtEndPr/>
        <w:sdtContent>
          <w:r w:rsidR="00405A9E">
            <w:t>Summary Factsheet</w:t>
          </w:r>
        </w:sdtContent>
      </w:sdt>
      <w:r w:rsidR="00AD42F8" w:rsidRPr="00286717">
        <w:t xml:space="preserve"> </w:t>
      </w:r>
    </w:p>
    <w:p w14:paraId="0C781E1E" w14:textId="77777777" w:rsidR="00116733" w:rsidRDefault="00116733" w:rsidP="00116733">
      <w:pPr>
        <w:pStyle w:val="BodyText"/>
      </w:pPr>
    </w:p>
    <w:p w14:paraId="5EF2EE9D" w14:textId="5C1950C0" w:rsidR="00116733" w:rsidRPr="00B273A0" w:rsidRDefault="006E4F56" w:rsidP="000E2ED1">
      <w:pPr>
        <w:pStyle w:val="Date"/>
      </w:pPr>
      <w:r>
        <w:t>This factsheet provides a high</w:t>
      </w:r>
      <w:r w:rsidR="00F67B66">
        <w:t>-</w:t>
      </w:r>
      <w:r>
        <w:t>level overview of the key features of the SFM2</w:t>
      </w:r>
      <w:r w:rsidR="00F67B66">
        <w:t xml:space="preserve">2 forecasts. This </w:t>
      </w:r>
      <w:r>
        <w:t>including</w:t>
      </w:r>
      <w:r w:rsidR="00F67B66">
        <w:t xml:space="preserve"> </w:t>
      </w:r>
      <w:r>
        <w:t>inputs, assumptions, methods, drivers and outputs</w:t>
      </w:r>
      <w:r w:rsidR="00F67B66">
        <w:t>.</w:t>
      </w:r>
    </w:p>
    <w:p w14:paraId="28B8E723" w14:textId="46859786" w:rsidR="00116733" w:rsidRPr="00FB4520" w:rsidRDefault="00FA0766" w:rsidP="00116733">
      <w:pPr>
        <w:pStyle w:val="Heading2"/>
        <w:rPr>
          <w:rFonts w:ascii="Arial" w:eastAsia="Times New Roman" w:hAnsi="Arial"/>
          <w:color w:val="002664"/>
          <w:szCs w:val="28"/>
          <w:lang w:eastAsia="en-AU"/>
        </w:rPr>
      </w:pPr>
      <w:r w:rsidRPr="00FB4520">
        <w:rPr>
          <w:rFonts w:ascii="Arial" w:eastAsia="Times New Roman" w:hAnsi="Arial"/>
          <w:color w:val="002664"/>
          <w:szCs w:val="28"/>
          <w:lang w:eastAsia="en-AU"/>
        </w:rPr>
        <w:t>What is Strategic Freight Model 2022 (SFM22)?</w:t>
      </w:r>
    </w:p>
    <w:p w14:paraId="1D04D3B2" w14:textId="77777777" w:rsidR="00FA0766" w:rsidRPr="00FB4520" w:rsidRDefault="00FA0766" w:rsidP="00FA0766">
      <w:pPr>
        <w:pStyle w:val="ListBullet"/>
        <w:numPr>
          <w:ilvl w:val="0"/>
          <w:numId w:val="0"/>
        </w:numPr>
        <w:rPr>
          <w:color w:val="auto"/>
          <w:szCs w:val="22"/>
        </w:rPr>
      </w:pPr>
      <w:r w:rsidRPr="00FB4520">
        <w:rPr>
          <w:color w:val="auto"/>
          <w:szCs w:val="22"/>
        </w:rPr>
        <w:t xml:space="preserve">The Strategic Freight Model 2022 (SFM22) contains base year estimate and forecast data of road and rail freight origin-destination movement tonnages for 20 commodity groups transported within and through NSW. </w:t>
      </w:r>
      <w:r w:rsidRPr="00FB4520">
        <w:rPr>
          <w:color w:val="auto"/>
          <w:szCs w:val="22"/>
          <w:lang w:val="en-US"/>
        </w:rPr>
        <w:t xml:space="preserve">At a high level, the data covers four dimensions: </w:t>
      </w:r>
    </w:p>
    <w:p w14:paraId="5D3A1F1E"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b/>
          <w:bCs/>
          <w:lang w:val="en-US"/>
        </w:rPr>
        <w:t xml:space="preserve">Base year: </w:t>
      </w:r>
      <w:r w:rsidRPr="00FB4520">
        <w:rPr>
          <w:lang w:val="en-US"/>
        </w:rPr>
        <w:t>2018</w:t>
      </w:r>
    </w:p>
    <w:p w14:paraId="19C8985E"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b/>
          <w:lang w:val="en-US"/>
        </w:rPr>
        <w:t>Forecast year period</w:t>
      </w:r>
      <w:r w:rsidRPr="00FB4520">
        <w:rPr>
          <w:lang w:val="en-US"/>
        </w:rPr>
        <w:t>: 5 yearly time periods from 2021 to 2061</w:t>
      </w:r>
    </w:p>
    <w:p w14:paraId="3F8A1927" w14:textId="19464898" w:rsidR="00FA0766" w:rsidRPr="00FB4520" w:rsidRDefault="00FA0766" w:rsidP="00FA0766">
      <w:pPr>
        <w:pStyle w:val="ListBullet"/>
        <w:keepLines/>
        <w:tabs>
          <w:tab w:val="clear" w:pos="357"/>
          <w:tab w:val="num" w:pos="720"/>
        </w:tabs>
        <w:suppressAutoHyphens w:val="0"/>
        <w:spacing w:before="0" w:after="0" w:line="280" w:lineRule="atLeast"/>
        <w:ind w:left="720" w:hanging="360"/>
        <w:contextualSpacing/>
        <w:jc w:val="both"/>
        <w:rPr>
          <w:b/>
          <w:color w:val="auto"/>
          <w:szCs w:val="22"/>
          <w:lang w:val="en-US"/>
        </w:rPr>
      </w:pPr>
      <w:r w:rsidRPr="00FB4520">
        <w:rPr>
          <w:b/>
          <w:color w:val="auto"/>
          <w:szCs w:val="22"/>
          <w:lang w:val="en-US"/>
        </w:rPr>
        <w:t>Geography</w:t>
      </w:r>
      <w:r w:rsidRPr="00FB4520">
        <w:rPr>
          <w:color w:val="auto"/>
          <w:szCs w:val="22"/>
          <w:lang w:val="en-US"/>
        </w:rPr>
        <w:t>: 92 Statistical Area Level 3 (ASGS 20</w:t>
      </w:r>
      <w:r w:rsidR="00635A66">
        <w:rPr>
          <w:color w:val="auto"/>
          <w:szCs w:val="22"/>
          <w:lang w:val="en-US"/>
        </w:rPr>
        <w:t>21</w:t>
      </w:r>
      <w:r w:rsidRPr="00FB4520">
        <w:rPr>
          <w:color w:val="auto"/>
          <w:szCs w:val="22"/>
          <w:lang w:val="en-US"/>
        </w:rPr>
        <w:t xml:space="preserve"> SA3s) geography across NSW </w:t>
      </w:r>
    </w:p>
    <w:p w14:paraId="2FF3C031" w14:textId="77777777" w:rsidR="00FA0766" w:rsidRPr="00FB4520" w:rsidRDefault="00FA0766" w:rsidP="00FA0766">
      <w:pPr>
        <w:pStyle w:val="ListBullet"/>
        <w:keepLines/>
        <w:tabs>
          <w:tab w:val="clear" w:pos="357"/>
          <w:tab w:val="num" w:pos="720"/>
        </w:tabs>
        <w:suppressAutoHyphens w:val="0"/>
        <w:spacing w:before="0" w:line="280" w:lineRule="atLeast"/>
        <w:ind w:left="720" w:hanging="360"/>
        <w:contextualSpacing/>
        <w:jc w:val="both"/>
        <w:rPr>
          <w:b/>
          <w:color w:val="auto"/>
          <w:szCs w:val="22"/>
          <w:lang w:val="en-US"/>
        </w:rPr>
      </w:pPr>
      <w:r w:rsidRPr="00FB4520">
        <w:rPr>
          <w:b/>
          <w:color w:val="auto"/>
          <w:szCs w:val="22"/>
          <w:lang w:val="en-US"/>
        </w:rPr>
        <w:t>Freight Commodities</w:t>
      </w:r>
      <w:r w:rsidRPr="00FB4520">
        <w:rPr>
          <w:color w:val="auto"/>
          <w:szCs w:val="22"/>
          <w:lang w:val="en-US"/>
        </w:rPr>
        <w:t>: 30 commodity groups covering coal, construction materials, household, fuel, export/import containers, manufactures and agricultural commodities</w:t>
      </w:r>
    </w:p>
    <w:p w14:paraId="3520D52B" w14:textId="77777777" w:rsidR="00FA0766" w:rsidRPr="00FB4520" w:rsidRDefault="00FA0766" w:rsidP="00FA0766">
      <w:pPr>
        <w:spacing w:after="120"/>
        <w:rPr>
          <w:color w:val="auto"/>
          <w:sz w:val="22"/>
          <w:szCs w:val="22"/>
        </w:rPr>
      </w:pPr>
      <w:r w:rsidRPr="00FB4520">
        <w:rPr>
          <w:color w:val="auto"/>
          <w:sz w:val="22"/>
          <w:szCs w:val="22"/>
        </w:rPr>
        <w:t>SFM22 provides a high-level view of forecast growth in the size and composition of the NSW freight volume task. This is based on a broad range of economic, industry, policy and land use factors and assumptions. SFM22 relies on NSW Government Common Planning Assumptions for population, employment and dwelling projections, Travel Zone Projections 2022 (TZP22).</w:t>
      </w:r>
    </w:p>
    <w:p w14:paraId="0422D901" w14:textId="3BAE932F" w:rsidR="00116733" w:rsidRPr="00FB4520" w:rsidRDefault="00FA0766" w:rsidP="00FA0766">
      <w:pPr>
        <w:jc w:val="both"/>
        <w:rPr>
          <w:color w:val="auto"/>
          <w:sz w:val="22"/>
          <w:szCs w:val="22"/>
        </w:rPr>
      </w:pPr>
      <w:r w:rsidRPr="00FB4520">
        <w:rPr>
          <w:color w:val="auto"/>
          <w:sz w:val="22"/>
          <w:szCs w:val="22"/>
        </w:rPr>
        <w:t>Caution is recommended as they are forward-looking forecasts only and not meant to be absolute forecasts of NSW freight volumes movements.</w:t>
      </w:r>
    </w:p>
    <w:p w14:paraId="342F87F0" w14:textId="46B1A8AF" w:rsidR="00D53388" w:rsidRPr="00FB4520" w:rsidRDefault="00FA0766" w:rsidP="00D53388">
      <w:pPr>
        <w:pStyle w:val="Heading2"/>
        <w:rPr>
          <w:rFonts w:ascii="Arial" w:eastAsia="Times New Roman" w:hAnsi="Arial"/>
          <w:color w:val="002664"/>
          <w:szCs w:val="28"/>
          <w:lang w:eastAsia="en-AU"/>
        </w:rPr>
      </w:pPr>
      <w:r w:rsidRPr="00FB4520">
        <w:rPr>
          <w:rFonts w:ascii="Arial" w:eastAsia="Times New Roman" w:hAnsi="Arial"/>
          <w:color w:val="002664"/>
          <w:szCs w:val="28"/>
          <w:lang w:eastAsia="en-AU"/>
        </w:rPr>
        <w:t>Why does TfNSW prepare freight forecasts?</w:t>
      </w:r>
    </w:p>
    <w:p w14:paraId="0B02D1B3" w14:textId="06337B73" w:rsidR="00FA0766" w:rsidRPr="00FB4520" w:rsidRDefault="00FA0766" w:rsidP="00FA0766">
      <w:pPr>
        <w:pStyle w:val="ListBullet"/>
        <w:numPr>
          <w:ilvl w:val="0"/>
          <w:numId w:val="0"/>
        </w:numPr>
        <w:rPr>
          <w:color w:val="auto"/>
          <w:szCs w:val="22"/>
        </w:rPr>
      </w:pPr>
      <w:r w:rsidRPr="00FB4520">
        <w:rPr>
          <w:color w:val="auto"/>
          <w:szCs w:val="22"/>
        </w:rPr>
        <w:t>The forecasts are developed to underpin TfNSW freight project assessments such as cost benefit analysis and business cases, freight network planning at a broader strategic level, as well as broad range of freight data requests and associated economic analysis (i.e., quantifying the value of freight sector activity to the NSW economy).</w:t>
      </w:r>
    </w:p>
    <w:p w14:paraId="58BF6FFD" w14:textId="3395037E" w:rsidR="00FA0766" w:rsidRPr="00FB4520" w:rsidRDefault="00FA0766" w:rsidP="00FA0766">
      <w:pPr>
        <w:pStyle w:val="Heading2"/>
        <w:rPr>
          <w:rFonts w:ascii="Arial" w:eastAsia="Times New Roman" w:hAnsi="Arial"/>
          <w:color w:val="002664"/>
          <w:szCs w:val="28"/>
          <w:lang w:eastAsia="en-AU"/>
        </w:rPr>
      </w:pPr>
      <w:r w:rsidRPr="00FB4520">
        <w:rPr>
          <w:rFonts w:ascii="Arial" w:eastAsia="Times New Roman" w:hAnsi="Arial"/>
          <w:color w:val="002664"/>
          <w:szCs w:val="28"/>
          <w:lang w:eastAsia="en-AU"/>
        </w:rPr>
        <w:t>What are the key inputs?</w:t>
      </w:r>
    </w:p>
    <w:p w14:paraId="0BE75293" w14:textId="77777777" w:rsidR="00FA0766" w:rsidRPr="00FB4520" w:rsidRDefault="00FA0766" w:rsidP="00FA0766">
      <w:pPr>
        <w:pStyle w:val="ListBullet"/>
        <w:numPr>
          <w:ilvl w:val="0"/>
          <w:numId w:val="0"/>
        </w:numPr>
        <w:rPr>
          <w:color w:val="auto"/>
          <w:szCs w:val="22"/>
        </w:rPr>
      </w:pPr>
      <w:r w:rsidRPr="00FB4520">
        <w:rPr>
          <w:color w:val="auto"/>
          <w:szCs w:val="22"/>
        </w:rPr>
        <w:t>The base year estimate of freight volume movements is based on data and information inputs from:</w:t>
      </w:r>
    </w:p>
    <w:p w14:paraId="44577A9D"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pPr>
      <w:r w:rsidRPr="00FB4520">
        <w:t>Government agencies (i.e., Australian Bureau of Statistics, Australian Bureau of Agricultural and Resource Economics and Sciences, Forestry NSW</w:t>
      </w:r>
      <w:proofErr w:type="gramStart"/>
      <w:r w:rsidRPr="00FB4520">
        <w:t>);</w:t>
      </w:r>
      <w:proofErr w:type="gramEnd"/>
    </w:p>
    <w:p w14:paraId="6B07BCC8"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pPr>
      <w:r w:rsidRPr="00FB4520">
        <w:t>Industry associations and publicly available company-specific sources (i.e. annual reports, site tour reports); and</w:t>
      </w:r>
    </w:p>
    <w:p w14:paraId="22E233ED"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pPr>
      <w:r w:rsidRPr="00FB4520">
        <w:t xml:space="preserve">Subscription services (i.e., </w:t>
      </w:r>
      <w:proofErr w:type="spellStart"/>
      <w:r w:rsidRPr="00FB4520">
        <w:t>MariTrade</w:t>
      </w:r>
      <w:proofErr w:type="spellEnd"/>
      <w:r w:rsidRPr="00FB4520">
        <w:t>).</w:t>
      </w:r>
    </w:p>
    <w:p w14:paraId="5AEEDAE5" w14:textId="534182DE" w:rsidR="00FA0766" w:rsidRPr="00FB4520" w:rsidRDefault="00FA0766" w:rsidP="00FA0766">
      <w:pPr>
        <w:pStyle w:val="ListBullet"/>
        <w:numPr>
          <w:ilvl w:val="0"/>
          <w:numId w:val="0"/>
        </w:numPr>
        <w:rPr>
          <w:color w:val="auto"/>
          <w:szCs w:val="22"/>
        </w:rPr>
      </w:pPr>
      <w:r w:rsidRPr="00FB4520">
        <w:rPr>
          <w:color w:val="auto"/>
          <w:szCs w:val="22"/>
        </w:rPr>
        <w:lastRenderedPageBreak/>
        <w:t>The forecast year freight volume movements are based on data and information inputs from:</w:t>
      </w:r>
    </w:p>
    <w:p w14:paraId="18506E31"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 xml:space="preserve">Economic, industry and company-specific literature review, research and analysis on commodity demand, production, spatial distributions and supply </w:t>
      </w:r>
      <w:proofErr w:type="gramStart"/>
      <w:r w:rsidRPr="00FB4520">
        <w:rPr>
          <w:lang w:val="en-US"/>
        </w:rPr>
        <w:t>chains;</w:t>
      </w:r>
      <w:proofErr w:type="gramEnd"/>
    </w:p>
    <w:p w14:paraId="60A00FF6"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NSW macroeconomic forecasts (NSW 2021 Intergenerational Report), NSW population, housing and employment forecasts (Travel Zone Projections 2022</w:t>
      </w:r>
      <w:proofErr w:type="gramStart"/>
      <w:r w:rsidRPr="00FB4520">
        <w:rPr>
          <w:lang w:val="en-US"/>
        </w:rPr>
        <w:t>);</w:t>
      </w:r>
      <w:proofErr w:type="gramEnd"/>
    </w:p>
    <w:p w14:paraId="7791391D" w14:textId="7CB12292"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Structural policy assumptions/aspirations and market changes (i.e. rising electric vehicle sales will lower the fuel freight task, move to renewable energy sources will lower coal freight task</w:t>
      </w:r>
      <w:proofErr w:type="gramStart"/>
      <w:r w:rsidRPr="00FB4520">
        <w:rPr>
          <w:lang w:val="en-US"/>
        </w:rPr>
        <w:t>);</w:t>
      </w:r>
      <w:proofErr w:type="gramEnd"/>
    </w:p>
    <w:p w14:paraId="19490B31"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Industry competitiveness assumptions and judgements (used to forecast container imports and local production of manufactures</w:t>
      </w:r>
      <w:proofErr w:type="gramStart"/>
      <w:r w:rsidRPr="00FB4520">
        <w:rPr>
          <w:lang w:val="en-US"/>
        </w:rPr>
        <w:t>);</w:t>
      </w:r>
      <w:proofErr w:type="gramEnd"/>
    </w:p>
    <w:p w14:paraId="223F21CE"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Departmental forecast assumptions (i.e., future infrastructure construction project list</w:t>
      </w:r>
      <w:proofErr w:type="gramStart"/>
      <w:r w:rsidRPr="00FB4520">
        <w:rPr>
          <w:lang w:val="en-US"/>
        </w:rPr>
        <w:t>);</w:t>
      </w:r>
      <w:proofErr w:type="gramEnd"/>
    </w:p>
    <w:p w14:paraId="6B00AEDB"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 xml:space="preserve">Large project Environmental Impact Studies (i.e., Western Sydney airport EIS); and </w:t>
      </w:r>
    </w:p>
    <w:p w14:paraId="1440EB4B" w14:textId="77777777" w:rsidR="00FA0766" w:rsidRPr="00FB4520" w:rsidRDefault="00FA0766" w:rsidP="00FA0766">
      <w:pPr>
        <w:pStyle w:val="ListParagraph"/>
        <w:keepLines/>
        <w:numPr>
          <w:ilvl w:val="0"/>
          <w:numId w:val="28"/>
        </w:numPr>
        <w:suppressAutoHyphens w:val="0"/>
        <w:spacing w:before="0" w:after="0" w:line="280" w:lineRule="atLeast"/>
        <w:contextualSpacing w:val="0"/>
        <w:jc w:val="both"/>
        <w:rPr>
          <w:lang w:val="en-US"/>
        </w:rPr>
      </w:pPr>
      <w:r w:rsidRPr="00FB4520">
        <w:rPr>
          <w:lang w:val="en-US"/>
        </w:rPr>
        <w:t>Departmental freight documents (i.e., 2018-23 Freight and Ports Plan regarding container spillover assumptions from Port Botany)</w:t>
      </w:r>
    </w:p>
    <w:p w14:paraId="7A51FE9A" w14:textId="5B216F17" w:rsidR="00FA0766" w:rsidRPr="00FB4520" w:rsidRDefault="00F6512B" w:rsidP="00D53388">
      <w:pPr>
        <w:pStyle w:val="Heading2"/>
        <w:rPr>
          <w:rFonts w:ascii="Arial" w:eastAsia="Times New Roman" w:hAnsi="Arial"/>
          <w:color w:val="002664"/>
          <w:szCs w:val="28"/>
          <w:lang w:eastAsia="en-AU"/>
        </w:rPr>
      </w:pPr>
      <w:r w:rsidRPr="00FB4520">
        <w:rPr>
          <w:rFonts w:ascii="Arial" w:eastAsia="Times New Roman" w:hAnsi="Arial"/>
          <w:color w:val="002664"/>
          <w:szCs w:val="28"/>
          <w:lang w:eastAsia="en-AU"/>
        </w:rPr>
        <w:t>How much freight growth is forecast for NSW?</w:t>
      </w:r>
    </w:p>
    <w:p w14:paraId="1A255BA4" w14:textId="77777777" w:rsidR="00F6512B" w:rsidRPr="00FB4520" w:rsidRDefault="00F6512B" w:rsidP="00F6512B">
      <w:pPr>
        <w:pStyle w:val="ListBullet"/>
        <w:numPr>
          <w:ilvl w:val="0"/>
          <w:numId w:val="0"/>
        </w:numPr>
        <w:rPr>
          <w:color w:val="auto"/>
          <w:szCs w:val="22"/>
        </w:rPr>
      </w:pPr>
      <w:r w:rsidRPr="00FB4520">
        <w:rPr>
          <w:color w:val="auto"/>
          <w:szCs w:val="22"/>
        </w:rPr>
        <w:t>SFM22 shows the total NSW freight volume task is forecast to grow an annual average rate of 0.8% over the period 2021 to 2061. This covers the freight task in the Sydney Greater Metropolitan Area (GMA) and Regional NSW.</w:t>
      </w:r>
    </w:p>
    <w:p w14:paraId="2639609F" w14:textId="7DE2B499" w:rsidR="00F6512B" w:rsidRPr="00FB4520" w:rsidRDefault="00F6512B" w:rsidP="00F6512B">
      <w:pPr>
        <w:pStyle w:val="ListBullet"/>
        <w:numPr>
          <w:ilvl w:val="0"/>
          <w:numId w:val="0"/>
        </w:numPr>
        <w:rPr>
          <w:color w:val="auto"/>
          <w:szCs w:val="22"/>
        </w:rPr>
      </w:pPr>
      <w:r w:rsidRPr="00FB4520">
        <w:rPr>
          <w:color w:val="auto"/>
          <w:szCs w:val="22"/>
        </w:rPr>
        <w:t>The freight volume task in Sydney Greater Metropolitan Area (GMA) is forecast to grow by an annual average rate of 1.7%. This contrasts with Regional NSW, which is forecast to record an annual average fall of 0.4% over the 40</w:t>
      </w:r>
      <w:r w:rsidR="00B75E03" w:rsidRPr="00FB4520">
        <w:rPr>
          <w:color w:val="auto"/>
          <w:szCs w:val="22"/>
        </w:rPr>
        <w:noBreakHyphen/>
      </w:r>
      <w:r w:rsidRPr="00FB4520">
        <w:rPr>
          <w:color w:val="auto"/>
          <w:szCs w:val="22"/>
        </w:rPr>
        <w:t>year forecast period.</w:t>
      </w:r>
    </w:p>
    <w:p w14:paraId="023C7687" w14:textId="77777777" w:rsidR="00F6512B" w:rsidRPr="00F6512B" w:rsidRDefault="00F6512B" w:rsidP="00F6512B">
      <w:pPr>
        <w:pStyle w:val="Heading4"/>
        <w:spacing w:after="0"/>
        <w:rPr>
          <w:b/>
          <w:bCs/>
          <w:color w:val="auto"/>
        </w:rPr>
      </w:pPr>
      <w:r w:rsidRPr="00F6512B">
        <w:rPr>
          <w:b/>
          <w:bCs/>
          <w:color w:val="auto"/>
        </w:rPr>
        <w:t>Table 1: Sydney GMA, regional NSW and NSW freight volume forecasts, 2021-2061</w:t>
      </w:r>
    </w:p>
    <w:tbl>
      <w:tblPr>
        <w:tblStyle w:val="GridTable1Light"/>
        <w:tblW w:w="10060" w:type="dxa"/>
        <w:tblLook w:val="04A0" w:firstRow="1" w:lastRow="0" w:firstColumn="1" w:lastColumn="0" w:noHBand="0" w:noVBand="1"/>
      </w:tblPr>
      <w:tblGrid>
        <w:gridCol w:w="1401"/>
        <w:gridCol w:w="797"/>
        <w:gridCol w:w="1062"/>
        <w:gridCol w:w="1063"/>
        <w:gridCol w:w="1063"/>
        <w:gridCol w:w="1063"/>
        <w:gridCol w:w="1768"/>
        <w:gridCol w:w="1843"/>
      </w:tblGrid>
      <w:tr w:rsidR="00F6512B" w:rsidRPr="00B75E03" w14:paraId="425155DD" w14:textId="77777777" w:rsidTr="00883FF9">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401" w:type="dxa"/>
          </w:tcPr>
          <w:p w14:paraId="649BC673" w14:textId="77777777" w:rsidR="00F6512B" w:rsidRPr="00B75E03" w:rsidRDefault="00F6512B" w:rsidP="009F0ECD">
            <w:pPr>
              <w:rPr>
                <w:color w:val="auto"/>
                <w:sz w:val="18"/>
                <w:szCs w:val="18"/>
              </w:rPr>
            </w:pPr>
            <w:r w:rsidRPr="00B75E03">
              <w:rPr>
                <w:rFonts w:ascii="Arial" w:hAnsi="Arial" w:cs="Arial"/>
                <w:color w:val="auto"/>
                <w:sz w:val="18"/>
                <w:szCs w:val="18"/>
              </w:rPr>
              <w:t>Item</w:t>
            </w:r>
          </w:p>
        </w:tc>
        <w:tc>
          <w:tcPr>
            <w:tcW w:w="797" w:type="dxa"/>
          </w:tcPr>
          <w:p w14:paraId="47190677"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2021(f)</w:t>
            </w:r>
          </w:p>
        </w:tc>
        <w:tc>
          <w:tcPr>
            <w:tcW w:w="1062" w:type="dxa"/>
          </w:tcPr>
          <w:p w14:paraId="2619E829"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2031(f)</w:t>
            </w:r>
          </w:p>
        </w:tc>
        <w:tc>
          <w:tcPr>
            <w:tcW w:w="1063" w:type="dxa"/>
          </w:tcPr>
          <w:p w14:paraId="4AEC3A12"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2041(f)</w:t>
            </w:r>
          </w:p>
        </w:tc>
        <w:tc>
          <w:tcPr>
            <w:tcW w:w="1063" w:type="dxa"/>
          </w:tcPr>
          <w:p w14:paraId="637CA1D3"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2051(f)</w:t>
            </w:r>
          </w:p>
        </w:tc>
        <w:tc>
          <w:tcPr>
            <w:tcW w:w="1063" w:type="dxa"/>
          </w:tcPr>
          <w:p w14:paraId="3F58FAF6"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2061(f)</w:t>
            </w:r>
          </w:p>
        </w:tc>
        <w:tc>
          <w:tcPr>
            <w:tcW w:w="1768" w:type="dxa"/>
          </w:tcPr>
          <w:p w14:paraId="53A08B01"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 xml:space="preserve">2021(f)-2061(f) </w:t>
            </w:r>
          </w:p>
        </w:tc>
        <w:tc>
          <w:tcPr>
            <w:tcW w:w="1843" w:type="dxa"/>
          </w:tcPr>
          <w:p w14:paraId="510184D2" w14:textId="77777777" w:rsidR="00F6512B" w:rsidRPr="00B75E03" w:rsidRDefault="00F6512B" w:rsidP="009F0ECD">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B75E03">
              <w:rPr>
                <w:rFonts w:ascii="Arial" w:hAnsi="Arial" w:cs="Arial"/>
                <w:color w:val="auto"/>
                <w:sz w:val="18"/>
                <w:szCs w:val="18"/>
              </w:rPr>
              <w:t>2021(f)-2061(f)</w:t>
            </w:r>
          </w:p>
        </w:tc>
      </w:tr>
      <w:tr w:rsidR="00F6512B" w:rsidRPr="00B75E03" w14:paraId="616AFFE8" w14:textId="77777777" w:rsidTr="00B75E03">
        <w:trPr>
          <w:trHeight w:hRule="exact" w:val="377"/>
        </w:trPr>
        <w:tc>
          <w:tcPr>
            <w:cnfStyle w:val="001000000000" w:firstRow="0" w:lastRow="0" w:firstColumn="1" w:lastColumn="0" w:oddVBand="0" w:evenVBand="0" w:oddHBand="0" w:evenHBand="0" w:firstRowFirstColumn="0" w:firstRowLastColumn="0" w:lastRowFirstColumn="0" w:lastRowLastColumn="0"/>
            <w:tcW w:w="1401" w:type="dxa"/>
          </w:tcPr>
          <w:p w14:paraId="4557D680" w14:textId="77777777" w:rsidR="00F6512B" w:rsidRPr="00405A9E" w:rsidRDefault="00F6512B" w:rsidP="009F0ECD">
            <w:pPr>
              <w:rPr>
                <w:color w:val="auto"/>
                <w:sz w:val="18"/>
                <w:szCs w:val="18"/>
              </w:rPr>
            </w:pPr>
          </w:p>
        </w:tc>
        <w:tc>
          <w:tcPr>
            <w:tcW w:w="5048" w:type="dxa"/>
            <w:gridSpan w:val="5"/>
          </w:tcPr>
          <w:p w14:paraId="55CCD6D2" w14:textId="77777777" w:rsidR="00F6512B" w:rsidRPr="00405A9E" w:rsidRDefault="00F6512B" w:rsidP="009F0EC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Million tonnes moved per annum</w:t>
            </w:r>
          </w:p>
        </w:tc>
        <w:tc>
          <w:tcPr>
            <w:tcW w:w="1768" w:type="dxa"/>
          </w:tcPr>
          <w:p w14:paraId="2E5A2CD4" w14:textId="08972D94" w:rsidR="00F6512B" w:rsidRPr="00405A9E" w:rsidRDefault="00883FF9"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T</w:t>
            </w:r>
            <w:r w:rsidR="00F6512B" w:rsidRPr="00405A9E">
              <w:rPr>
                <w:rFonts w:ascii="Arial" w:hAnsi="Arial" w:cs="Arial"/>
                <w:color w:val="auto"/>
                <w:sz w:val="18"/>
                <w:szCs w:val="18"/>
              </w:rPr>
              <w:t>otal % change</w:t>
            </w:r>
          </w:p>
        </w:tc>
        <w:tc>
          <w:tcPr>
            <w:tcW w:w="1843" w:type="dxa"/>
          </w:tcPr>
          <w:p w14:paraId="54768221"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 xml:space="preserve">Annual growth rate </w:t>
            </w:r>
          </w:p>
        </w:tc>
      </w:tr>
      <w:tr w:rsidR="00F6512B" w:rsidRPr="00B75E03" w14:paraId="0D1DF3A3" w14:textId="77777777" w:rsidTr="00B75E03">
        <w:trPr>
          <w:trHeight w:hRule="exact" w:val="454"/>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60E851E7" w14:textId="77777777" w:rsidR="00F6512B" w:rsidRPr="00405A9E" w:rsidRDefault="00F6512B" w:rsidP="009F0ECD">
            <w:pPr>
              <w:rPr>
                <w:color w:val="auto"/>
                <w:sz w:val="18"/>
                <w:szCs w:val="18"/>
              </w:rPr>
            </w:pPr>
            <w:r w:rsidRPr="00405A9E">
              <w:rPr>
                <w:rFonts w:ascii="Arial" w:hAnsi="Arial" w:cs="Arial"/>
                <w:b w:val="0"/>
                <w:bCs w:val="0"/>
                <w:color w:val="auto"/>
                <w:sz w:val="18"/>
                <w:szCs w:val="18"/>
              </w:rPr>
              <w:t>Sydney GMA</w:t>
            </w:r>
          </w:p>
        </w:tc>
        <w:tc>
          <w:tcPr>
            <w:tcW w:w="797" w:type="dxa"/>
            <w:vAlign w:val="center"/>
          </w:tcPr>
          <w:p w14:paraId="4B9AF6F7"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220.9</w:t>
            </w:r>
          </w:p>
        </w:tc>
        <w:tc>
          <w:tcPr>
            <w:tcW w:w="1062" w:type="dxa"/>
            <w:vAlign w:val="center"/>
          </w:tcPr>
          <w:p w14:paraId="130138BA"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260.2</w:t>
            </w:r>
          </w:p>
        </w:tc>
        <w:tc>
          <w:tcPr>
            <w:tcW w:w="1063" w:type="dxa"/>
            <w:vAlign w:val="center"/>
          </w:tcPr>
          <w:p w14:paraId="30E9E6A0"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315.1</w:t>
            </w:r>
          </w:p>
        </w:tc>
        <w:tc>
          <w:tcPr>
            <w:tcW w:w="1063" w:type="dxa"/>
            <w:vAlign w:val="center"/>
          </w:tcPr>
          <w:p w14:paraId="184164AA"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371.0</w:t>
            </w:r>
          </w:p>
        </w:tc>
        <w:tc>
          <w:tcPr>
            <w:tcW w:w="1063" w:type="dxa"/>
            <w:vAlign w:val="center"/>
          </w:tcPr>
          <w:p w14:paraId="1FBF8DC0"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430.4</w:t>
            </w:r>
          </w:p>
        </w:tc>
        <w:tc>
          <w:tcPr>
            <w:tcW w:w="1768" w:type="dxa"/>
            <w:vAlign w:val="center"/>
          </w:tcPr>
          <w:p w14:paraId="12ADB6E0"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color w:val="auto"/>
                <w:sz w:val="18"/>
                <w:szCs w:val="18"/>
              </w:rPr>
              <w:t>94.8%</w:t>
            </w:r>
          </w:p>
        </w:tc>
        <w:tc>
          <w:tcPr>
            <w:tcW w:w="1843" w:type="dxa"/>
            <w:vAlign w:val="center"/>
          </w:tcPr>
          <w:p w14:paraId="2D4D64BA"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color w:val="auto"/>
                <w:sz w:val="18"/>
                <w:szCs w:val="18"/>
              </w:rPr>
              <w:t>1.7%</w:t>
            </w:r>
          </w:p>
        </w:tc>
      </w:tr>
      <w:tr w:rsidR="00F6512B" w:rsidRPr="00B75E03" w14:paraId="41A97568" w14:textId="77777777" w:rsidTr="00B75E03">
        <w:trPr>
          <w:trHeight w:hRule="exact" w:val="454"/>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5118734E" w14:textId="77777777" w:rsidR="00F6512B" w:rsidRPr="00405A9E" w:rsidRDefault="00F6512B" w:rsidP="009F0ECD">
            <w:pPr>
              <w:rPr>
                <w:color w:val="auto"/>
                <w:sz w:val="18"/>
                <w:szCs w:val="18"/>
              </w:rPr>
            </w:pPr>
            <w:r w:rsidRPr="00405A9E">
              <w:rPr>
                <w:rFonts w:ascii="Arial" w:hAnsi="Arial" w:cs="Arial"/>
                <w:b w:val="0"/>
                <w:bCs w:val="0"/>
                <w:color w:val="auto"/>
                <w:sz w:val="18"/>
                <w:szCs w:val="18"/>
              </w:rPr>
              <w:t>Regional NSW</w:t>
            </w:r>
          </w:p>
        </w:tc>
        <w:tc>
          <w:tcPr>
            <w:tcW w:w="797" w:type="dxa"/>
            <w:vAlign w:val="center"/>
          </w:tcPr>
          <w:p w14:paraId="320C4EEE"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243.5</w:t>
            </w:r>
          </w:p>
        </w:tc>
        <w:tc>
          <w:tcPr>
            <w:tcW w:w="1062" w:type="dxa"/>
            <w:vAlign w:val="center"/>
          </w:tcPr>
          <w:p w14:paraId="1D3CC0E7"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274.9</w:t>
            </w:r>
          </w:p>
        </w:tc>
        <w:tc>
          <w:tcPr>
            <w:tcW w:w="1063" w:type="dxa"/>
            <w:vAlign w:val="center"/>
          </w:tcPr>
          <w:p w14:paraId="3EC1197D"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272.9</w:t>
            </w:r>
          </w:p>
        </w:tc>
        <w:tc>
          <w:tcPr>
            <w:tcW w:w="1063" w:type="dxa"/>
            <w:vAlign w:val="center"/>
          </w:tcPr>
          <w:p w14:paraId="10FB9366"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209.4</w:t>
            </w:r>
          </w:p>
        </w:tc>
        <w:tc>
          <w:tcPr>
            <w:tcW w:w="1063" w:type="dxa"/>
            <w:vAlign w:val="center"/>
          </w:tcPr>
          <w:p w14:paraId="1E52725E"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204.3</w:t>
            </w:r>
          </w:p>
        </w:tc>
        <w:tc>
          <w:tcPr>
            <w:tcW w:w="1768" w:type="dxa"/>
            <w:vAlign w:val="center"/>
          </w:tcPr>
          <w:p w14:paraId="5BFA5078"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color w:val="auto"/>
                <w:sz w:val="18"/>
                <w:szCs w:val="18"/>
              </w:rPr>
              <w:t>-16.1%</w:t>
            </w:r>
          </w:p>
        </w:tc>
        <w:tc>
          <w:tcPr>
            <w:tcW w:w="1843" w:type="dxa"/>
            <w:vAlign w:val="center"/>
          </w:tcPr>
          <w:p w14:paraId="2CEE0102"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color w:val="auto"/>
                <w:sz w:val="18"/>
                <w:szCs w:val="18"/>
              </w:rPr>
              <w:t>-0.4%</w:t>
            </w:r>
          </w:p>
        </w:tc>
      </w:tr>
      <w:tr w:rsidR="00F6512B" w:rsidRPr="00B75E03" w14:paraId="07B6B4A1" w14:textId="77777777" w:rsidTr="00B75E03">
        <w:trPr>
          <w:trHeight w:hRule="exact" w:val="454"/>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1D09DBCB" w14:textId="77777777" w:rsidR="00F6512B" w:rsidRPr="00405A9E" w:rsidRDefault="00F6512B" w:rsidP="009F0ECD">
            <w:pPr>
              <w:rPr>
                <w:color w:val="auto"/>
                <w:sz w:val="18"/>
                <w:szCs w:val="18"/>
              </w:rPr>
            </w:pPr>
            <w:r w:rsidRPr="00405A9E">
              <w:rPr>
                <w:rFonts w:ascii="Arial" w:hAnsi="Arial" w:cs="Arial"/>
                <w:b w:val="0"/>
                <w:bCs w:val="0"/>
                <w:color w:val="auto"/>
                <w:sz w:val="18"/>
                <w:szCs w:val="18"/>
              </w:rPr>
              <w:t>Total NSW</w:t>
            </w:r>
          </w:p>
        </w:tc>
        <w:tc>
          <w:tcPr>
            <w:tcW w:w="797" w:type="dxa"/>
            <w:vAlign w:val="center"/>
          </w:tcPr>
          <w:p w14:paraId="1E41B963"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464.4</w:t>
            </w:r>
          </w:p>
        </w:tc>
        <w:tc>
          <w:tcPr>
            <w:tcW w:w="1062" w:type="dxa"/>
            <w:vAlign w:val="center"/>
          </w:tcPr>
          <w:p w14:paraId="5A71DF1C"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535.1</w:t>
            </w:r>
          </w:p>
        </w:tc>
        <w:tc>
          <w:tcPr>
            <w:tcW w:w="1063" w:type="dxa"/>
            <w:vAlign w:val="center"/>
          </w:tcPr>
          <w:p w14:paraId="5D890E56"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588.0</w:t>
            </w:r>
          </w:p>
        </w:tc>
        <w:tc>
          <w:tcPr>
            <w:tcW w:w="1063" w:type="dxa"/>
            <w:vAlign w:val="center"/>
          </w:tcPr>
          <w:p w14:paraId="6DF7D8EC"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580.4</w:t>
            </w:r>
          </w:p>
        </w:tc>
        <w:tc>
          <w:tcPr>
            <w:tcW w:w="1063" w:type="dxa"/>
            <w:vAlign w:val="center"/>
          </w:tcPr>
          <w:p w14:paraId="5849D436"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rFonts w:ascii="Arial" w:hAnsi="Arial" w:cs="Arial"/>
                <w:color w:val="auto"/>
                <w:sz w:val="18"/>
                <w:szCs w:val="18"/>
              </w:rPr>
              <w:t>634.7</w:t>
            </w:r>
          </w:p>
        </w:tc>
        <w:tc>
          <w:tcPr>
            <w:tcW w:w="1768" w:type="dxa"/>
            <w:vAlign w:val="center"/>
          </w:tcPr>
          <w:p w14:paraId="235F0CD6"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color w:val="auto"/>
                <w:sz w:val="18"/>
                <w:szCs w:val="18"/>
              </w:rPr>
              <w:t>36.7%</w:t>
            </w:r>
          </w:p>
        </w:tc>
        <w:tc>
          <w:tcPr>
            <w:tcW w:w="1843" w:type="dxa"/>
            <w:vAlign w:val="center"/>
          </w:tcPr>
          <w:p w14:paraId="107C32D4" w14:textId="77777777" w:rsidR="00F6512B" w:rsidRPr="00405A9E" w:rsidRDefault="00F6512B" w:rsidP="009F0ECD">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405A9E">
              <w:rPr>
                <w:color w:val="auto"/>
                <w:sz w:val="18"/>
                <w:szCs w:val="18"/>
              </w:rPr>
              <w:t>0.8%</w:t>
            </w:r>
          </w:p>
        </w:tc>
      </w:tr>
    </w:tbl>
    <w:p w14:paraId="51E5B86E" w14:textId="615AA773" w:rsidR="00FA0766" w:rsidRPr="00FB4520" w:rsidRDefault="00B75E03" w:rsidP="00D53388">
      <w:pPr>
        <w:pStyle w:val="Heading2"/>
        <w:rPr>
          <w:rFonts w:ascii="Arial" w:eastAsia="Times New Roman" w:hAnsi="Arial"/>
          <w:color w:val="002664"/>
          <w:szCs w:val="28"/>
          <w:lang w:eastAsia="en-AU"/>
        </w:rPr>
      </w:pPr>
      <w:r w:rsidRPr="00FB4520">
        <w:rPr>
          <w:rFonts w:ascii="Arial" w:eastAsia="Times New Roman" w:hAnsi="Arial"/>
          <w:color w:val="002664"/>
          <w:szCs w:val="28"/>
          <w:lang w:eastAsia="en-AU"/>
        </w:rPr>
        <w:t>How are the SFM22 forecasts different to the previous forecasts?</w:t>
      </w:r>
    </w:p>
    <w:p w14:paraId="13CEFE0D" w14:textId="2A196217" w:rsidR="00B75E03" w:rsidRPr="00FB4520" w:rsidRDefault="00B75E03" w:rsidP="00B75E03">
      <w:pPr>
        <w:pStyle w:val="ListBullet"/>
        <w:numPr>
          <w:ilvl w:val="0"/>
          <w:numId w:val="0"/>
        </w:numPr>
        <w:rPr>
          <w:color w:val="auto"/>
          <w:szCs w:val="22"/>
        </w:rPr>
      </w:pPr>
      <w:r w:rsidRPr="00FB4520">
        <w:rPr>
          <w:color w:val="auto"/>
          <w:szCs w:val="22"/>
        </w:rPr>
        <w:t xml:space="preserve">The main difference between the SFM22 and the previous SFM18 forecasts is the regional NSW forecasts. The forecast for regional NSW is substantially lower in SFM22 compared to SFM18. This is due to coal, which accounts for a high share of the regional NSW freight task, being forecast to experience a very large fall over the forecast period. This is quite different to SFM18, where coal was to increase modestly over the forecast period. See </w:t>
      </w:r>
      <w:r w:rsidRPr="00FB4520">
        <w:rPr>
          <w:color w:val="auto"/>
          <w:szCs w:val="22"/>
        </w:rPr>
        <w:fldChar w:fldCharType="begin"/>
      </w:r>
      <w:r w:rsidRPr="00FB4520">
        <w:rPr>
          <w:color w:val="auto"/>
          <w:szCs w:val="22"/>
        </w:rPr>
        <w:instrText xml:space="preserve"> REF _Ref199502692 \h  \* MERGEFORMAT </w:instrText>
      </w:r>
      <w:r w:rsidRPr="00FB4520">
        <w:rPr>
          <w:color w:val="auto"/>
          <w:szCs w:val="22"/>
        </w:rPr>
      </w:r>
      <w:r w:rsidRPr="00FB4520">
        <w:rPr>
          <w:color w:val="auto"/>
          <w:szCs w:val="22"/>
        </w:rPr>
        <w:fldChar w:fldCharType="separate"/>
      </w:r>
      <w:r w:rsidRPr="00FB4520">
        <w:rPr>
          <w:color w:val="auto"/>
          <w:szCs w:val="22"/>
        </w:rPr>
        <w:t>Figure 1</w:t>
      </w:r>
      <w:r w:rsidRPr="00FB4520">
        <w:rPr>
          <w:color w:val="auto"/>
          <w:szCs w:val="22"/>
        </w:rPr>
        <w:fldChar w:fldCharType="end"/>
      </w:r>
      <w:r w:rsidRPr="00FB4520">
        <w:rPr>
          <w:color w:val="auto"/>
          <w:szCs w:val="22"/>
        </w:rPr>
        <w:t xml:space="preserve"> below.</w:t>
      </w:r>
    </w:p>
    <w:p w14:paraId="06F4EB27" w14:textId="77777777" w:rsidR="00B75E03" w:rsidRPr="00FB4520" w:rsidRDefault="00B75E03" w:rsidP="00B75E03">
      <w:pPr>
        <w:pStyle w:val="ListBullet"/>
        <w:numPr>
          <w:ilvl w:val="0"/>
          <w:numId w:val="0"/>
        </w:numPr>
        <w:rPr>
          <w:color w:val="auto"/>
          <w:szCs w:val="22"/>
        </w:rPr>
      </w:pPr>
      <w:r w:rsidRPr="00FB4520">
        <w:rPr>
          <w:color w:val="auto"/>
          <w:szCs w:val="22"/>
        </w:rPr>
        <w:t>The rationale for the marked downgrade to the coal forecast in SFM22 (compared to SFM18) is an assumed strengthening in the move away from fossil fuels to renewable sources of electricity generation domestically and internationally. This translates into a large decline in NSW exports of coal to Asia (China, South Korea and Japan) over the forecast period.</w:t>
      </w:r>
    </w:p>
    <w:p w14:paraId="61D94941" w14:textId="77777777" w:rsidR="00FB4520" w:rsidRPr="00FB4520" w:rsidRDefault="00FB4520" w:rsidP="00FB4520">
      <w:pPr>
        <w:pStyle w:val="Heading4"/>
        <w:spacing w:after="0"/>
        <w:rPr>
          <w:b/>
          <w:bCs/>
          <w:color w:val="auto"/>
        </w:rPr>
      </w:pPr>
      <w:bookmarkStart w:id="0" w:name="_Ref199502692"/>
      <w:r w:rsidRPr="00FB4520">
        <w:rPr>
          <w:b/>
          <w:bCs/>
          <w:color w:val="auto"/>
        </w:rPr>
        <w:lastRenderedPageBreak/>
        <w:t xml:space="preserve">Figure </w:t>
      </w:r>
      <w:r w:rsidRPr="00FB4520">
        <w:rPr>
          <w:b/>
          <w:bCs/>
          <w:color w:val="auto"/>
        </w:rPr>
        <w:fldChar w:fldCharType="begin"/>
      </w:r>
      <w:r w:rsidRPr="00FB4520">
        <w:rPr>
          <w:b/>
          <w:bCs/>
          <w:color w:val="auto"/>
        </w:rPr>
        <w:instrText xml:space="preserve"> SEQ Figure \* ARABIC </w:instrText>
      </w:r>
      <w:r w:rsidRPr="00FB4520">
        <w:rPr>
          <w:b/>
          <w:bCs/>
          <w:color w:val="auto"/>
        </w:rPr>
        <w:fldChar w:fldCharType="separate"/>
      </w:r>
      <w:r w:rsidRPr="00FB4520">
        <w:rPr>
          <w:b/>
          <w:bCs/>
          <w:color w:val="auto"/>
        </w:rPr>
        <w:t>1</w:t>
      </w:r>
      <w:r w:rsidRPr="00FB4520">
        <w:rPr>
          <w:b/>
          <w:bCs/>
          <w:color w:val="auto"/>
        </w:rPr>
        <w:fldChar w:fldCharType="end"/>
      </w:r>
      <w:bookmarkEnd w:id="0"/>
      <w:r w:rsidRPr="00FB4520">
        <w:rPr>
          <w:b/>
          <w:bCs/>
          <w:color w:val="auto"/>
        </w:rPr>
        <w:t>: Coal forecast comparison SFM22 v SFM18: 2021-2051</w:t>
      </w:r>
    </w:p>
    <w:p w14:paraId="67DC1BED" w14:textId="77777777" w:rsidR="00FB4520" w:rsidRPr="00FB4520" w:rsidRDefault="00FB4520" w:rsidP="00FB4520">
      <w:pPr>
        <w:jc w:val="both"/>
        <w:rPr>
          <w:color w:val="auto"/>
        </w:rPr>
      </w:pPr>
      <w:r w:rsidRPr="00575863">
        <w:rPr>
          <w:noProof/>
        </w:rPr>
        <w:drawing>
          <wp:inline distT="0" distB="0" distL="0" distR="0" wp14:anchorId="022840B9" wp14:editId="5D47A2B7">
            <wp:extent cx="4870800" cy="2923200"/>
            <wp:effectExtent l="0" t="0" r="6350" b="0"/>
            <wp:docPr id="207343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37026" name=""/>
                    <pic:cNvPicPr/>
                  </pic:nvPicPr>
                  <pic:blipFill>
                    <a:blip r:embed="rId12"/>
                    <a:stretch>
                      <a:fillRect/>
                    </a:stretch>
                  </pic:blipFill>
                  <pic:spPr>
                    <a:xfrm>
                      <a:off x="0" y="0"/>
                      <a:ext cx="4870800" cy="2923200"/>
                    </a:xfrm>
                    <a:prstGeom prst="rect">
                      <a:avLst/>
                    </a:prstGeom>
                  </pic:spPr>
                </pic:pic>
              </a:graphicData>
            </a:graphic>
          </wp:inline>
        </w:drawing>
      </w:r>
    </w:p>
    <w:p w14:paraId="0038C2AF" w14:textId="7B41D842" w:rsidR="00FB4520" w:rsidRPr="00FB4520" w:rsidRDefault="00FB4520" w:rsidP="00FB4520">
      <w:pPr>
        <w:pStyle w:val="Heading2"/>
        <w:rPr>
          <w:szCs w:val="28"/>
        </w:rPr>
      </w:pPr>
      <w:r w:rsidRPr="00FB4520">
        <w:rPr>
          <w:rFonts w:ascii="Arial" w:eastAsia="Times New Roman" w:hAnsi="Arial"/>
          <w:color w:val="002664"/>
          <w:szCs w:val="28"/>
          <w:lang w:eastAsia="en-AU"/>
        </w:rPr>
        <w:t>SFM22 Methodology - overview</w:t>
      </w:r>
    </w:p>
    <w:p w14:paraId="5F7FA231" w14:textId="77777777" w:rsidR="00FB4520" w:rsidRPr="00FB4520" w:rsidRDefault="00FB4520" w:rsidP="00FB4520">
      <w:pPr>
        <w:pStyle w:val="ListBullet"/>
        <w:numPr>
          <w:ilvl w:val="0"/>
          <w:numId w:val="0"/>
        </w:numPr>
        <w:rPr>
          <w:color w:val="auto"/>
          <w:szCs w:val="22"/>
        </w:rPr>
      </w:pPr>
      <w:r w:rsidRPr="00FB4520">
        <w:rPr>
          <w:color w:val="auto"/>
          <w:szCs w:val="22"/>
        </w:rPr>
        <w:t>A technical summary report titled ‘NSW Freight Commodity Demand Forecasts 2021-2061’ will be available on the Open Data Hub Portal in July 2025. This report will provide an overview of the key aspects of the forecast methodology and drivers used to generate the freight movement forecasts.</w:t>
      </w:r>
    </w:p>
    <w:p w14:paraId="3E7E1EBF" w14:textId="77777777" w:rsidR="00FB4520" w:rsidRPr="00FB4520" w:rsidRDefault="00FB4520" w:rsidP="00FB4520">
      <w:pPr>
        <w:pStyle w:val="ListBullet"/>
        <w:numPr>
          <w:ilvl w:val="0"/>
          <w:numId w:val="0"/>
        </w:numPr>
        <w:rPr>
          <w:color w:val="auto"/>
          <w:szCs w:val="22"/>
        </w:rPr>
      </w:pPr>
      <w:r w:rsidRPr="00FB4520">
        <w:rPr>
          <w:color w:val="auto"/>
          <w:szCs w:val="22"/>
        </w:rPr>
        <w:t>The following commodity structure diagram highlights the drivers of and relationships between the freight commodity forecasts.</w:t>
      </w:r>
    </w:p>
    <w:p w14:paraId="276646DE" w14:textId="77777777" w:rsidR="00FB4520" w:rsidRPr="00FB4520" w:rsidRDefault="00FB4520" w:rsidP="00FB4520">
      <w:pPr>
        <w:pStyle w:val="Heading4"/>
        <w:spacing w:after="0"/>
        <w:rPr>
          <w:b/>
          <w:bCs/>
          <w:color w:val="auto"/>
        </w:rPr>
      </w:pPr>
      <w:r w:rsidRPr="00FB4520">
        <w:rPr>
          <w:b/>
          <w:bCs/>
          <w:color w:val="auto"/>
        </w:rPr>
        <w:t>Figure 2: Drivers of and relationships between freight commodities in SFM22</w:t>
      </w:r>
    </w:p>
    <w:p w14:paraId="19B9769C" w14:textId="77777777" w:rsidR="00FB4520" w:rsidRPr="00405A9E" w:rsidRDefault="00FB4520" w:rsidP="00FB4520">
      <w:pPr>
        <w:rPr>
          <w:color w:val="auto"/>
        </w:rPr>
      </w:pPr>
      <w:r w:rsidRPr="00755BCB">
        <w:rPr>
          <w:noProof/>
        </w:rPr>
        <w:drawing>
          <wp:inline distT="0" distB="0" distL="0" distR="0" wp14:anchorId="7B080ED8" wp14:editId="7F2E5BF1">
            <wp:extent cx="5966460" cy="3732530"/>
            <wp:effectExtent l="0" t="0" r="0" b="1270"/>
            <wp:docPr id="39648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460" cy="3732530"/>
                    </a:xfrm>
                    <a:prstGeom prst="rect">
                      <a:avLst/>
                    </a:prstGeom>
                    <a:noFill/>
                    <a:ln>
                      <a:noFill/>
                    </a:ln>
                  </pic:spPr>
                </pic:pic>
              </a:graphicData>
            </a:graphic>
          </wp:inline>
        </w:drawing>
      </w:r>
    </w:p>
    <w:tbl>
      <w:tblPr>
        <w:tblStyle w:val="TableGrid"/>
        <w:tblW w:w="0" w:type="auto"/>
        <w:tblInd w:w="85" w:type="dxa"/>
        <w:tblBorders>
          <w:top w:val="single" w:sz="24" w:space="0" w:color="152355"/>
          <w:left w:val="single" w:sz="24" w:space="0" w:color="152355"/>
          <w:bottom w:val="single" w:sz="24" w:space="0" w:color="152355"/>
          <w:right w:val="single" w:sz="24" w:space="0" w:color="152355"/>
          <w:insideH w:val="none" w:sz="0" w:space="0" w:color="auto"/>
          <w:insideV w:val="none" w:sz="0" w:space="0" w:color="auto"/>
        </w:tblBorders>
        <w:shd w:val="clear" w:color="auto" w:fill="FFFFFF"/>
        <w:tblCellMar>
          <w:top w:w="57" w:type="dxa"/>
          <w:left w:w="227" w:type="dxa"/>
          <w:bottom w:w="57" w:type="dxa"/>
          <w:right w:w="227" w:type="dxa"/>
        </w:tblCellMar>
        <w:tblLook w:val="04A0" w:firstRow="1" w:lastRow="0" w:firstColumn="1" w:lastColumn="0" w:noHBand="0" w:noVBand="1"/>
        <w:tblCaption w:val="For more information on TZP19 refer to the Technical Guide"/>
        <w:tblDescription w:val="For more information on TZP19 refer to the Technical Guide"/>
      </w:tblPr>
      <w:tblGrid>
        <w:gridCol w:w="9487"/>
      </w:tblGrid>
      <w:tr w:rsidR="00FB4520" w:rsidRPr="00FB4520" w14:paraId="5AF17CF9" w14:textId="77777777" w:rsidTr="009F0ECD">
        <w:trPr>
          <w:tblHeader/>
        </w:trPr>
        <w:tc>
          <w:tcPr>
            <w:tcW w:w="9487" w:type="dxa"/>
            <w:shd w:val="clear" w:color="auto" w:fill="FFFFFF"/>
          </w:tcPr>
          <w:p w14:paraId="56A6E023" w14:textId="375A6BE8" w:rsidR="00FB4520" w:rsidRPr="00405A9E" w:rsidRDefault="00FB4520" w:rsidP="00405A9E">
            <w:pPr>
              <w:pStyle w:val="Heading8"/>
              <w:rPr>
                <w:rFonts w:asciiTheme="minorHAnsi" w:eastAsia="Arial" w:hAnsiTheme="minorHAnsi" w:cs="Arial"/>
                <w:color w:val="auto"/>
                <w:sz w:val="22"/>
                <w:szCs w:val="22"/>
              </w:rPr>
            </w:pPr>
            <w:r w:rsidRPr="00405A9E">
              <w:rPr>
                <w:rFonts w:asciiTheme="minorHAnsi" w:eastAsia="Arial" w:hAnsiTheme="minorHAnsi" w:cs="Arial"/>
                <w:color w:val="auto"/>
                <w:sz w:val="22"/>
                <w:szCs w:val="22"/>
              </w:rPr>
              <w:lastRenderedPageBreak/>
              <w:t xml:space="preserve">For more information about SFM22 please refer to the </w:t>
            </w:r>
            <w:bookmarkStart w:id="1" w:name="_Hlk199889538"/>
            <w:r w:rsidRPr="00405A9E">
              <w:rPr>
                <w:rFonts w:asciiTheme="minorHAnsi" w:eastAsia="Arial" w:hAnsiTheme="minorHAnsi" w:cs="Arial"/>
                <w:color w:val="auto"/>
                <w:sz w:val="22"/>
                <w:szCs w:val="22"/>
              </w:rPr>
              <w:t xml:space="preserve">‘NSW Freight </w:t>
            </w:r>
            <w:r w:rsidR="000664D1">
              <w:rPr>
                <w:rFonts w:asciiTheme="minorHAnsi" w:eastAsia="Arial" w:hAnsiTheme="minorHAnsi" w:cs="Arial"/>
                <w:color w:val="auto"/>
                <w:sz w:val="22"/>
                <w:szCs w:val="22"/>
              </w:rPr>
              <w:t xml:space="preserve">Commodity </w:t>
            </w:r>
            <w:r w:rsidRPr="00405A9E">
              <w:rPr>
                <w:rFonts w:asciiTheme="minorHAnsi" w:eastAsia="Arial" w:hAnsiTheme="minorHAnsi" w:cs="Arial"/>
                <w:color w:val="auto"/>
                <w:sz w:val="22"/>
                <w:szCs w:val="22"/>
              </w:rPr>
              <w:t>Demand Forecast Report 2021-2061</w:t>
            </w:r>
            <w:r w:rsidR="000664D1">
              <w:rPr>
                <w:rFonts w:asciiTheme="minorHAnsi" w:eastAsia="Arial" w:hAnsiTheme="minorHAnsi" w:cs="Arial"/>
                <w:color w:val="auto"/>
                <w:sz w:val="22"/>
                <w:szCs w:val="22"/>
              </w:rPr>
              <w:t xml:space="preserve"> S</w:t>
            </w:r>
            <w:r w:rsidRPr="00405A9E">
              <w:rPr>
                <w:rFonts w:asciiTheme="minorHAnsi" w:eastAsia="Arial" w:hAnsiTheme="minorHAnsi" w:cs="Arial"/>
                <w:color w:val="auto"/>
                <w:sz w:val="22"/>
                <w:szCs w:val="22"/>
              </w:rPr>
              <w:t>ummary</w:t>
            </w:r>
            <w:r w:rsidR="000664D1">
              <w:rPr>
                <w:rFonts w:asciiTheme="minorHAnsi" w:eastAsia="Arial" w:hAnsiTheme="minorHAnsi" w:cs="Arial"/>
                <w:color w:val="auto"/>
                <w:sz w:val="22"/>
                <w:szCs w:val="22"/>
              </w:rPr>
              <w:t>’</w:t>
            </w:r>
            <w:bookmarkEnd w:id="1"/>
            <w:r w:rsidRPr="00405A9E">
              <w:rPr>
                <w:rFonts w:asciiTheme="minorHAnsi" w:eastAsia="Arial" w:hAnsiTheme="minorHAnsi" w:cs="Arial"/>
                <w:color w:val="auto"/>
                <w:sz w:val="22"/>
                <w:szCs w:val="22"/>
              </w:rPr>
              <w:t xml:space="preserve"> report (to be released on </w:t>
            </w:r>
            <w:hyperlink r:id="rId14" w:history="1">
              <w:r w:rsidRPr="00405A9E">
                <w:rPr>
                  <w:rFonts w:asciiTheme="minorHAnsi" w:eastAsia="Arial" w:hAnsiTheme="minorHAnsi" w:cs="Arial"/>
                  <w:sz w:val="22"/>
                  <w:szCs w:val="22"/>
                </w:rPr>
                <w:t>TfNSW Open Data Hub</w:t>
              </w:r>
            </w:hyperlink>
            <w:r w:rsidRPr="00405A9E">
              <w:rPr>
                <w:rFonts w:asciiTheme="minorHAnsi" w:eastAsia="Arial" w:hAnsiTheme="minorHAnsi" w:cs="Arial"/>
                <w:sz w:val="22"/>
                <w:szCs w:val="22"/>
              </w:rPr>
              <w:t xml:space="preserve"> </w:t>
            </w:r>
            <w:r w:rsidRPr="00405A9E">
              <w:rPr>
                <w:rFonts w:asciiTheme="minorHAnsi" w:eastAsia="Arial" w:hAnsiTheme="minorHAnsi" w:cs="Arial"/>
                <w:color w:val="auto"/>
                <w:sz w:val="22"/>
                <w:szCs w:val="22"/>
              </w:rPr>
              <w:t>in July 2025) or contact the Transport Modelling team at</w:t>
            </w:r>
            <w:r w:rsidR="00635A66">
              <w:rPr>
                <w:rFonts w:asciiTheme="minorHAnsi" w:eastAsia="Arial" w:hAnsiTheme="minorHAnsi" w:cs="Arial"/>
                <w:color w:val="auto"/>
                <w:sz w:val="22"/>
                <w:szCs w:val="22"/>
              </w:rPr>
              <w:t xml:space="preserve"> transportmodelling@transport.nsw.gov.au</w:t>
            </w:r>
          </w:p>
        </w:tc>
      </w:tr>
    </w:tbl>
    <w:p w14:paraId="259971EB" w14:textId="77777777" w:rsidR="00FB4520" w:rsidRPr="00FB4520" w:rsidRDefault="00FB4520" w:rsidP="00FB4520">
      <w:pPr>
        <w:pStyle w:val="Heading2"/>
        <w:rPr>
          <w:color w:val="auto"/>
        </w:rPr>
      </w:pPr>
      <w:r w:rsidRPr="00FB4520">
        <w:rPr>
          <w:color w:val="auto"/>
        </w:rPr>
        <w:t>Disclaimer</w:t>
      </w:r>
    </w:p>
    <w:p w14:paraId="0AB40257" w14:textId="77777777" w:rsidR="00FB4520" w:rsidRPr="00405A9E" w:rsidRDefault="00FB4520" w:rsidP="00FB4520">
      <w:pPr>
        <w:pStyle w:val="ListParagraph"/>
        <w:numPr>
          <w:ilvl w:val="0"/>
          <w:numId w:val="35"/>
        </w:numPr>
        <w:tabs>
          <w:tab w:val="left" w:pos="284"/>
        </w:tabs>
        <w:suppressAutoHyphens w:val="0"/>
        <w:spacing w:before="120" w:after="80" w:line="280" w:lineRule="exact"/>
        <w:ind w:left="714" w:hanging="357"/>
        <w:jc w:val="both"/>
        <w:rPr>
          <w:rFonts w:eastAsia="Arial" w:cs="Arial"/>
        </w:rPr>
      </w:pPr>
      <w:r w:rsidRPr="00405A9E">
        <w:rPr>
          <w:rFonts w:eastAsia="Arial" w:cs="Arial"/>
        </w:rPr>
        <w:t>While all care is taken in producing this work, no responsibility is taken or warranty made with respect to the accuracy of any information, data or representation.</w:t>
      </w:r>
    </w:p>
    <w:p w14:paraId="7F372E30" w14:textId="1207F56B" w:rsidR="00FB4520" w:rsidRPr="00405A9E" w:rsidRDefault="00FB4520" w:rsidP="00B75E03">
      <w:pPr>
        <w:pStyle w:val="ListParagraph"/>
        <w:numPr>
          <w:ilvl w:val="0"/>
          <w:numId w:val="35"/>
        </w:numPr>
        <w:suppressAutoHyphens w:val="0"/>
        <w:spacing w:before="120" w:after="80" w:line="280" w:lineRule="exact"/>
        <w:ind w:left="714" w:hanging="357"/>
        <w:jc w:val="both"/>
        <w:rPr>
          <w:rFonts w:eastAsia="Arial" w:cs="Arial"/>
        </w:rPr>
      </w:pPr>
      <w:r w:rsidRPr="00405A9E">
        <w:rPr>
          <w:rFonts w:eastAsia="Arial" w:cs="Arial"/>
        </w:rPr>
        <w:t>The authors (including copyright owners) expressly disclaim all liability in respect of anything done or omitted to be done and the consequences upon reliance of the contents of this information.</w:t>
      </w:r>
    </w:p>
    <w:sectPr w:rsidR="00FB4520" w:rsidRPr="00405A9E" w:rsidSect="00DD578A">
      <w:footerReference w:type="even" r:id="rId15"/>
      <w:footerReference w:type="default" r:id="rId16"/>
      <w:headerReference w:type="first" r:id="rId17"/>
      <w:footerReference w:type="first" r:id="rId18"/>
      <w:type w:val="continuous"/>
      <w:pgSz w:w="11906" w:h="16838" w:code="9"/>
      <w:pgMar w:top="851" w:right="851" w:bottom="170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27193" w14:textId="77777777" w:rsidR="00D53388" w:rsidRDefault="00D53388" w:rsidP="00921FD3">
      <w:r>
        <w:separator/>
      </w:r>
    </w:p>
  </w:endnote>
  <w:endnote w:type="continuationSeparator" w:id="0">
    <w:p w14:paraId="45CFEF5E" w14:textId="77777777" w:rsidR="00D53388" w:rsidRDefault="00D53388" w:rsidP="0092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3ADC240-F9D3-4985-BBA6-C84795E7DF6C}"/>
    <w:embedBold r:id="rId2" w:fontKey="{D649A754-2E9A-403F-8A33-8E58200488DC}"/>
  </w:font>
  <w:font w:name="Public Sans SemiBold">
    <w:altName w:val="Calibri"/>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66FB" w14:textId="2898B19C" w:rsidR="001D778E" w:rsidRDefault="001D778E">
    <w:pPr>
      <w:pStyle w:val="Footer"/>
    </w:pPr>
    <w:r>
      <w:rPr>
        <w:noProof/>
      </w:rPr>
      <mc:AlternateContent>
        <mc:Choice Requires="wps">
          <w:drawing>
            <wp:anchor distT="0" distB="0" distL="0" distR="0" simplePos="0" relativeHeight="251666432" behindDoc="0" locked="0" layoutInCell="1" allowOverlap="1" wp14:anchorId="04E26E44" wp14:editId="356F0F87">
              <wp:simplePos x="635" y="635"/>
              <wp:positionH relativeFrom="page">
                <wp:align>center</wp:align>
              </wp:positionH>
              <wp:positionV relativeFrom="page">
                <wp:align>bottom</wp:align>
              </wp:positionV>
              <wp:extent cx="459740" cy="345440"/>
              <wp:effectExtent l="0" t="0" r="16510" b="0"/>
              <wp:wrapNone/>
              <wp:docPr id="22198045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a:effectLst/>
                    </wps:spPr>
                    <wps:txbx>
                      <w:txbxContent>
                        <w:p w14:paraId="65FBA4D3" w14:textId="01EF224D" w:rsidR="001D778E" w:rsidRPr="001D778E" w:rsidRDefault="001D778E" w:rsidP="001D778E">
                          <w:pPr>
                            <w:rPr>
                              <w:noProof/>
                              <w:color w:val="000000"/>
                            </w:rPr>
                          </w:pPr>
                          <w:r w:rsidRPr="001D778E">
                            <w:rPr>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26E44" id="_x0000_t202" coordsize="21600,21600" o:spt="202" path="m,l,21600r21600,l21600,xe">
              <v:stroke joinstyle="miter"/>
              <v:path gradientshapeok="t" o:connecttype="rect"/>
            </v:shapetype>
            <v:shape id="Text Box 3" o:spid="_x0000_s1026" type="#_x0000_t202" alt="OFFICIAL" style="position:absolute;margin-left:0;margin-top:0;width:36.2pt;height:27.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" filled="f" stroked="f">
              <v:textbox style="mso-fit-shape-to-text:t" inset="0,0,0,15pt">
                <w:txbxContent>
                  <w:p w14:paraId="65FBA4D3" w14:textId="01EF224D" w:rsidR="001D778E" w:rsidRPr="001D778E" w:rsidRDefault="001D778E" w:rsidP="001D778E">
                    <w:pPr>
                      <w:rPr>
                        <w:noProof/>
                        <w:color w:val="000000"/>
                      </w:rPr>
                    </w:pPr>
                    <w:r w:rsidRPr="001D778E">
                      <w:rPr>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22E8" w14:textId="033711DB" w:rsidR="008645D7" w:rsidRPr="00405A9E" w:rsidRDefault="001D778E" w:rsidP="00997A69">
    <w:pPr>
      <w:pStyle w:val="HeaderFooterSensitivityLabelSpace"/>
      <w:rPr>
        <w:color w:val="auto"/>
      </w:rPr>
    </w:pPr>
    <w:r w:rsidRPr="00405A9E">
      <w:rPr>
        <w:noProof/>
        <w:color w:val="auto"/>
      </w:rPr>
      <mc:AlternateContent>
        <mc:Choice Requires="wps">
          <w:drawing>
            <wp:anchor distT="0" distB="0" distL="0" distR="0" simplePos="0" relativeHeight="251667456" behindDoc="0" locked="0" layoutInCell="1" allowOverlap="1" wp14:anchorId="72B4A1C6" wp14:editId="5E37FD19">
              <wp:simplePos x="635" y="635"/>
              <wp:positionH relativeFrom="page">
                <wp:align>center</wp:align>
              </wp:positionH>
              <wp:positionV relativeFrom="page">
                <wp:align>bottom</wp:align>
              </wp:positionV>
              <wp:extent cx="459740" cy="345440"/>
              <wp:effectExtent l="0" t="0" r="16510" b="0"/>
              <wp:wrapNone/>
              <wp:docPr id="1275877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a:effectLst/>
                    </wps:spPr>
                    <wps:txbx>
                      <w:txbxContent>
                        <w:p w14:paraId="384E37A2" w14:textId="2BB9079D" w:rsidR="001D778E" w:rsidRPr="001D778E" w:rsidRDefault="001D778E" w:rsidP="001D778E">
                          <w:pPr>
                            <w:rPr>
                              <w:noProof/>
                              <w:color w:val="000000"/>
                            </w:rPr>
                          </w:pPr>
                          <w:r w:rsidRPr="001D778E">
                            <w:rPr>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4A1C6" id="_x0000_t202" coordsize="21600,21600" o:spt="202" path="m,l,21600r21600,l21600,xe">
              <v:stroke joinstyle="miter"/>
              <v:path gradientshapeok="t" o:connecttype="rect"/>
            </v:shapetype>
            <v:shape id="Text Box 4" o:spid="_x0000_s1027" type="#_x0000_t202" alt="OFFICIAL" style="position:absolute;margin-left:0;margin-top:0;width:36.2pt;height:27.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" filled="f" stroked="f">
              <v:textbox style="mso-fit-shape-to-text:t" inset="0,0,0,15pt">
                <w:txbxContent>
                  <w:p w14:paraId="384E37A2" w14:textId="2BB9079D" w:rsidR="001D778E" w:rsidRPr="001D778E" w:rsidRDefault="001D778E" w:rsidP="001D778E">
                    <w:pPr>
                      <w:rPr>
                        <w:noProof/>
                        <w:color w:val="000000"/>
                      </w:rPr>
                    </w:pPr>
                    <w:r w:rsidRPr="001D778E">
                      <w:rPr>
                        <w:noProof/>
                        <w:color w:val="000000"/>
                      </w:rPr>
                      <w:t>OFFICIAL</w:t>
                    </w:r>
                  </w:p>
                </w:txbxContent>
              </v:textbox>
              <w10:wrap anchorx="page" anchory="page"/>
            </v:shape>
          </w:pict>
        </mc:Fallback>
      </mc:AlternateContent>
    </w:r>
  </w:p>
  <w:p w14:paraId="6E5ED3C7" w14:textId="77777777" w:rsidR="00610A2D" w:rsidRPr="008645D7" w:rsidRDefault="00D20E6C" w:rsidP="00D20E6C">
    <w:pPr>
      <w:pStyle w:val="Footer"/>
    </w:pPr>
    <w:r>
      <w:ptab w:relativeTo="margin" w:alignment="right" w:leader="none"/>
    </w: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BCEF" w14:textId="7B0817A8" w:rsidR="001B58BB" w:rsidRPr="00FA0766" w:rsidRDefault="001D778E" w:rsidP="001B58BB">
    <w:pPr>
      <w:pStyle w:val="HeaderFooterSensitivityLabelSpace"/>
      <w:rPr>
        <w:color w:val="auto"/>
      </w:rPr>
    </w:pPr>
    <w:r w:rsidRPr="00FA0766">
      <w:rPr>
        <w:noProof/>
        <w:color w:val="auto"/>
      </w:rPr>
      <mc:AlternateContent>
        <mc:Choice Requires="wps">
          <w:drawing>
            <wp:anchor distT="0" distB="0" distL="0" distR="0" simplePos="0" relativeHeight="251665408" behindDoc="0" locked="0" layoutInCell="1" allowOverlap="1" wp14:anchorId="008083E4" wp14:editId="78E41ACC">
              <wp:simplePos x="541979" y="9713229"/>
              <wp:positionH relativeFrom="page">
                <wp:align>center</wp:align>
              </wp:positionH>
              <wp:positionV relativeFrom="page">
                <wp:align>bottom</wp:align>
              </wp:positionV>
              <wp:extent cx="459740" cy="345440"/>
              <wp:effectExtent l="0" t="0" r="16510" b="0"/>
              <wp:wrapNone/>
              <wp:docPr id="84735730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a:effectLst/>
                    </wps:spPr>
                    <wps:txbx>
                      <w:txbxContent>
                        <w:p w14:paraId="0B8F0E5F" w14:textId="0A26FCB3" w:rsidR="001D778E" w:rsidRPr="001D778E" w:rsidRDefault="001D778E" w:rsidP="001D778E">
                          <w:pPr>
                            <w:rPr>
                              <w:noProof/>
                              <w:color w:val="000000"/>
                            </w:rPr>
                          </w:pPr>
                          <w:r w:rsidRPr="001D778E">
                            <w:rPr>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083E4" id="_x0000_t202" coordsize="21600,21600" o:spt="202" path="m,l,21600r21600,l21600,xe">
              <v:stroke joinstyle="miter"/>
              <v:path gradientshapeok="t" o:connecttype="rect"/>
            </v:shapetype>
            <v:shape id="Text Box 2" o:spid="_x0000_s1028" type="#_x0000_t202" alt="OFFICIAL" style="position:absolute;margin-left:0;margin-top:0;width:36.2pt;height:27.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" filled="f" stroked="f">
              <v:textbox style="mso-fit-shape-to-text:t" inset="0,0,0,15pt">
                <w:txbxContent>
                  <w:p w14:paraId="0B8F0E5F" w14:textId="0A26FCB3" w:rsidR="001D778E" w:rsidRPr="001D778E" w:rsidRDefault="001D778E" w:rsidP="001D778E">
                    <w:pPr>
                      <w:rPr>
                        <w:noProof/>
                        <w:color w:val="000000"/>
                      </w:rPr>
                    </w:pPr>
                    <w:r w:rsidRPr="001D778E">
                      <w:rPr>
                        <w:noProof/>
                        <w:color w:val="000000"/>
                      </w:rPr>
                      <w:t>OFFICIAL</w:t>
                    </w:r>
                  </w:p>
                </w:txbxContent>
              </v:textbox>
              <w10:wrap anchorx="page" anchory="page"/>
            </v:shape>
          </w:pict>
        </mc:Fallback>
      </mc:AlternateContent>
    </w:r>
  </w:p>
  <w:p w14:paraId="271FFC49" w14:textId="77777777" w:rsidR="001B58BB" w:rsidRPr="001B58BB" w:rsidRDefault="00D20E6C" w:rsidP="00D20E6C">
    <w:pPr>
      <w:pStyle w:val="Footer"/>
    </w:pPr>
    <w:r>
      <w:ptab w:relativeTo="margin" w:alignment="right" w:leader="none"/>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8E53" w14:textId="77777777" w:rsidR="00D53388" w:rsidRDefault="00D53388" w:rsidP="00921FD3">
      <w:r>
        <w:separator/>
      </w:r>
    </w:p>
  </w:footnote>
  <w:footnote w:type="continuationSeparator" w:id="0">
    <w:p w14:paraId="758072CC" w14:textId="77777777" w:rsidR="00D53388" w:rsidRDefault="00D53388" w:rsidP="0092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A351" w14:textId="77777777" w:rsidR="00DD578A" w:rsidRDefault="00576CCF">
    <w:pPr>
      <w:pStyle w:val="Header"/>
    </w:pPr>
    <w:r>
      <w:rPr>
        <w:noProof/>
      </w:rPr>
      <mc:AlternateContent>
        <mc:Choice Requires="wps">
          <w:drawing>
            <wp:anchor distT="0" distB="0" distL="114300" distR="114300" simplePos="0" relativeHeight="251659264" behindDoc="1" locked="0" layoutInCell="1" allowOverlap="1" wp14:anchorId="4FFB5C21" wp14:editId="790A2E29">
              <wp:simplePos x="0" y="0"/>
              <wp:positionH relativeFrom="page">
                <wp:align>center</wp:align>
              </wp:positionH>
              <wp:positionV relativeFrom="page">
                <wp:align>top</wp:align>
              </wp:positionV>
              <wp:extent cx="7560000" cy="2520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52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B227" id="Rectangle 5" o:spid="_x0000_s1026" alt="&quot;&quot;" style="position:absolute;margin-left:0;margin-top:0;width:595.3pt;height:198.4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" fillcolor="#cbedfd [3207]" stroked="f" strokeweight="1pt">
              <w10:wrap anchorx="page" anchory="page"/>
            </v:rect>
          </w:pict>
        </mc:Fallback>
      </mc:AlternateContent>
    </w:r>
    <w:r w:rsidR="006E1287">
      <w:rPr>
        <w:noProof/>
      </w:rPr>
      <mc:AlternateContent>
        <mc:Choice Requires="wps">
          <w:drawing>
            <wp:anchor distT="36195" distB="0" distL="114300" distR="114300" simplePos="0" relativeHeight="251664384" behindDoc="1" locked="0" layoutInCell="1" allowOverlap="1" wp14:anchorId="1699C260" wp14:editId="23C28A82">
              <wp:simplePos x="0" y="0"/>
              <wp:positionH relativeFrom="page">
                <wp:align>center</wp:align>
              </wp:positionH>
              <wp:positionV relativeFrom="page">
                <wp:posOffset>1476375</wp:posOffset>
              </wp:positionV>
              <wp:extent cx="7560000" cy="72000"/>
              <wp:effectExtent l="0" t="0" r="0" b="4445"/>
              <wp:wrapTopAndBottom/>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00AA" id="Rectangle 1" o:spid="_x0000_s1026" alt="&quot;&quot;" style="position:absolute;margin-left:0;margin-top:116.25pt;width:595.3pt;height:5.65pt;z-index:-251652096;visibility:visible;mso-wrap-style:square;mso-width-percent:0;mso-height-percent:0;mso-wrap-distance-left:9pt;mso-wrap-distance-top:2.85pt;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" filled="f" stroked="f" strokeweight="1pt">
              <w10:wrap type="topAndBottom" anchorx="page" anchory="page"/>
            </v:rect>
          </w:pict>
        </mc:Fallback>
      </mc:AlternateContent>
    </w:r>
    <w:r w:rsidR="000953AB" w:rsidRPr="0051472C">
      <w:rPr>
        <w:noProof/>
      </w:rPr>
      <w:drawing>
        <wp:anchor distT="0" distB="0" distL="114300" distR="114300" simplePos="0" relativeHeight="251662336" behindDoc="1" locked="0" layoutInCell="1" allowOverlap="1" wp14:anchorId="79486874" wp14:editId="69DC1210">
          <wp:simplePos x="0" y="0"/>
          <wp:positionH relativeFrom="margin">
            <wp:align>right</wp:align>
          </wp:positionH>
          <wp:positionV relativeFrom="margin">
            <wp:align>top</wp:align>
          </wp:positionV>
          <wp:extent cx="666000" cy="720000"/>
          <wp:effectExtent l="0" t="0" r="1270" b="444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3119"/>
    <w:multiLevelType w:val="hybridMultilevel"/>
    <w:tmpl w:val="22BE3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7EC1105D"/>
    <w:multiLevelType w:val="hybridMultilevel"/>
    <w:tmpl w:val="9796F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8921062">
    <w:abstractNumId w:val="5"/>
  </w:num>
  <w:num w:numId="2" w16cid:durableId="1878276292">
    <w:abstractNumId w:val="6"/>
  </w:num>
  <w:num w:numId="3" w16cid:durableId="1269660198">
    <w:abstractNumId w:val="4"/>
  </w:num>
  <w:num w:numId="4" w16cid:durableId="1508444419">
    <w:abstractNumId w:val="1"/>
  </w:num>
  <w:num w:numId="5" w16cid:durableId="1686709768">
    <w:abstractNumId w:val="3"/>
  </w:num>
  <w:num w:numId="6" w16cid:durableId="2133087865">
    <w:abstractNumId w:val="2"/>
  </w:num>
  <w:num w:numId="7" w16cid:durableId="1252350034">
    <w:abstractNumId w:val="2"/>
    <w:lvlOverride w:ilvl="0">
      <w:startOverride w:val="1"/>
    </w:lvlOverride>
  </w:num>
  <w:num w:numId="8" w16cid:durableId="1422918899">
    <w:abstractNumId w:val="1"/>
    <w:lvlOverride w:ilvl="0">
      <w:startOverride w:val="1"/>
    </w:lvlOverride>
  </w:num>
  <w:num w:numId="9" w16cid:durableId="524563940">
    <w:abstractNumId w:val="3"/>
    <w:lvlOverride w:ilvl="0">
      <w:startOverride w:val="1"/>
    </w:lvlOverride>
  </w:num>
  <w:num w:numId="10" w16cid:durableId="906453950">
    <w:abstractNumId w:val="5"/>
  </w:num>
  <w:num w:numId="11" w16cid:durableId="1199507892">
    <w:abstractNumId w:val="2"/>
  </w:num>
  <w:num w:numId="12" w16cid:durableId="1194269471">
    <w:abstractNumId w:val="6"/>
  </w:num>
  <w:num w:numId="13" w16cid:durableId="1388914959">
    <w:abstractNumId w:val="4"/>
  </w:num>
  <w:num w:numId="14" w16cid:durableId="1197817635">
    <w:abstractNumId w:val="1"/>
  </w:num>
  <w:num w:numId="15" w16cid:durableId="924723709">
    <w:abstractNumId w:val="3"/>
  </w:num>
  <w:num w:numId="16" w16cid:durableId="1285228989">
    <w:abstractNumId w:val="6"/>
  </w:num>
  <w:num w:numId="17" w16cid:durableId="714475838">
    <w:abstractNumId w:val="4"/>
  </w:num>
  <w:num w:numId="18" w16cid:durableId="389302653">
    <w:abstractNumId w:val="5"/>
  </w:num>
  <w:num w:numId="19" w16cid:durableId="920262953">
    <w:abstractNumId w:val="1"/>
  </w:num>
  <w:num w:numId="20" w16cid:durableId="1081752912">
    <w:abstractNumId w:val="3"/>
  </w:num>
  <w:num w:numId="21" w16cid:durableId="989872588">
    <w:abstractNumId w:val="2"/>
  </w:num>
  <w:num w:numId="22" w16cid:durableId="330109590">
    <w:abstractNumId w:val="5"/>
    <w:lvlOverride w:ilvl="0">
      <w:startOverride w:val="1"/>
    </w:lvlOverride>
  </w:num>
  <w:num w:numId="23" w16cid:durableId="9796861">
    <w:abstractNumId w:val="6"/>
    <w:lvlOverride w:ilvl="0">
      <w:startOverride w:val="1"/>
    </w:lvlOverride>
  </w:num>
  <w:num w:numId="24" w16cid:durableId="135034221">
    <w:abstractNumId w:val="4"/>
    <w:lvlOverride w:ilvl="0">
      <w:startOverride w:val="1"/>
    </w:lvlOverride>
  </w:num>
  <w:num w:numId="25" w16cid:durableId="137698041">
    <w:abstractNumId w:val="5"/>
  </w:num>
  <w:num w:numId="26" w16cid:durableId="806356663">
    <w:abstractNumId w:val="2"/>
  </w:num>
  <w:num w:numId="27" w16cid:durableId="895049751">
    <w:abstractNumId w:val="2"/>
    <w:lvlOverride w:ilvl="0">
      <w:startOverride w:val="1"/>
    </w:lvlOverride>
  </w:num>
  <w:num w:numId="28" w16cid:durableId="1664164426">
    <w:abstractNumId w:val="7"/>
  </w:num>
  <w:num w:numId="29" w16cid:durableId="594679071">
    <w:abstractNumId w:val="5"/>
  </w:num>
  <w:num w:numId="30" w16cid:durableId="36200902">
    <w:abstractNumId w:val="5"/>
  </w:num>
  <w:num w:numId="31" w16cid:durableId="396320032">
    <w:abstractNumId w:val="5"/>
  </w:num>
  <w:num w:numId="32" w16cid:durableId="625815182">
    <w:abstractNumId w:val="5"/>
  </w:num>
  <w:num w:numId="33" w16cid:durableId="223226454">
    <w:abstractNumId w:val="5"/>
  </w:num>
  <w:num w:numId="34" w16cid:durableId="1428310958">
    <w:abstractNumId w:val="5"/>
  </w:num>
  <w:num w:numId="35" w16cid:durableId="52594320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88"/>
    <w:rsid w:val="00002C93"/>
    <w:rsid w:val="000058C1"/>
    <w:rsid w:val="000100A3"/>
    <w:rsid w:val="000106AC"/>
    <w:rsid w:val="00025E7F"/>
    <w:rsid w:val="00030C2E"/>
    <w:rsid w:val="00030FD2"/>
    <w:rsid w:val="000319D3"/>
    <w:rsid w:val="00031DFE"/>
    <w:rsid w:val="000369F8"/>
    <w:rsid w:val="00046ACD"/>
    <w:rsid w:val="0005359F"/>
    <w:rsid w:val="0005618A"/>
    <w:rsid w:val="00064974"/>
    <w:rsid w:val="000664D1"/>
    <w:rsid w:val="000953AB"/>
    <w:rsid w:val="00096E97"/>
    <w:rsid w:val="000A3A88"/>
    <w:rsid w:val="000A7D6C"/>
    <w:rsid w:val="000C32C3"/>
    <w:rsid w:val="000C34C5"/>
    <w:rsid w:val="000D6B77"/>
    <w:rsid w:val="000E0F87"/>
    <w:rsid w:val="000E2ED1"/>
    <w:rsid w:val="000F29F4"/>
    <w:rsid w:val="001106A0"/>
    <w:rsid w:val="00111775"/>
    <w:rsid w:val="00116733"/>
    <w:rsid w:val="001249A0"/>
    <w:rsid w:val="0013204F"/>
    <w:rsid w:val="0013421B"/>
    <w:rsid w:val="00135F60"/>
    <w:rsid w:val="001375D3"/>
    <w:rsid w:val="0014157C"/>
    <w:rsid w:val="001419CE"/>
    <w:rsid w:val="001455B6"/>
    <w:rsid w:val="001467C3"/>
    <w:rsid w:val="0015035F"/>
    <w:rsid w:val="00150CAE"/>
    <w:rsid w:val="001554D7"/>
    <w:rsid w:val="0015619B"/>
    <w:rsid w:val="0015627D"/>
    <w:rsid w:val="00161785"/>
    <w:rsid w:val="00163D68"/>
    <w:rsid w:val="00163DF6"/>
    <w:rsid w:val="001728CA"/>
    <w:rsid w:val="001800FA"/>
    <w:rsid w:val="001945EC"/>
    <w:rsid w:val="001A0AEB"/>
    <w:rsid w:val="001A186C"/>
    <w:rsid w:val="001A628B"/>
    <w:rsid w:val="001B0831"/>
    <w:rsid w:val="001B58BB"/>
    <w:rsid w:val="001C2AD2"/>
    <w:rsid w:val="001D46D6"/>
    <w:rsid w:val="001D4825"/>
    <w:rsid w:val="001D48FC"/>
    <w:rsid w:val="001D4C98"/>
    <w:rsid w:val="001D754D"/>
    <w:rsid w:val="001D778E"/>
    <w:rsid w:val="001E04AA"/>
    <w:rsid w:val="001E0762"/>
    <w:rsid w:val="00202697"/>
    <w:rsid w:val="00216B6C"/>
    <w:rsid w:val="00223E4A"/>
    <w:rsid w:val="00224DDA"/>
    <w:rsid w:val="00233115"/>
    <w:rsid w:val="00240008"/>
    <w:rsid w:val="002409AB"/>
    <w:rsid w:val="00246190"/>
    <w:rsid w:val="0024683D"/>
    <w:rsid w:val="00247B09"/>
    <w:rsid w:val="002530BB"/>
    <w:rsid w:val="00255A7A"/>
    <w:rsid w:val="002605EC"/>
    <w:rsid w:val="00262045"/>
    <w:rsid w:val="002722B0"/>
    <w:rsid w:val="002725C8"/>
    <w:rsid w:val="00274B76"/>
    <w:rsid w:val="0027645B"/>
    <w:rsid w:val="00286717"/>
    <w:rsid w:val="00287597"/>
    <w:rsid w:val="0029398B"/>
    <w:rsid w:val="00297E89"/>
    <w:rsid w:val="002A1284"/>
    <w:rsid w:val="002C4F01"/>
    <w:rsid w:val="002C4FBA"/>
    <w:rsid w:val="002C7806"/>
    <w:rsid w:val="002D06D6"/>
    <w:rsid w:val="002D0FCF"/>
    <w:rsid w:val="002D392D"/>
    <w:rsid w:val="002D5157"/>
    <w:rsid w:val="002D615C"/>
    <w:rsid w:val="002D7A8C"/>
    <w:rsid w:val="002E235A"/>
    <w:rsid w:val="002E34BF"/>
    <w:rsid w:val="002F666A"/>
    <w:rsid w:val="00305D69"/>
    <w:rsid w:val="00307620"/>
    <w:rsid w:val="00321722"/>
    <w:rsid w:val="003226D8"/>
    <w:rsid w:val="003266CA"/>
    <w:rsid w:val="00326B78"/>
    <w:rsid w:val="00326DF1"/>
    <w:rsid w:val="00331551"/>
    <w:rsid w:val="00332DBA"/>
    <w:rsid w:val="00333458"/>
    <w:rsid w:val="00340CA0"/>
    <w:rsid w:val="00343BB5"/>
    <w:rsid w:val="003450AA"/>
    <w:rsid w:val="003503CC"/>
    <w:rsid w:val="003522CE"/>
    <w:rsid w:val="00357235"/>
    <w:rsid w:val="00360042"/>
    <w:rsid w:val="00371F6A"/>
    <w:rsid w:val="0037399B"/>
    <w:rsid w:val="00387695"/>
    <w:rsid w:val="003A44F5"/>
    <w:rsid w:val="003B19B3"/>
    <w:rsid w:val="003B523A"/>
    <w:rsid w:val="003C3E43"/>
    <w:rsid w:val="003E211E"/>
    <w:rsid w:val="003E49F4"/>
    <w:rsid w:val="003E530F"/>
    <w:rsid w:val="003F2482"/>
    <w:rsid w:val="003F5577"/>
    <w:rsid w:val="00402E8F"/>
    <w:rsid w:val="00403322"/>
    <w:rsid w:val="00404B96"/>
    <w:rsid w:val="00405A9E"/>
    <w:rsid w:val="00414BBA"/>
    <w:rsid w:val="0042223A"/>
    <w:rsid w:val="0042374C"/>
    <w:rsid w:val="004268D9"/>
    <w:rsid w:val="0043431C"/>
    <w:rsid w:val="0043445D"/>
    <w:rsid w:val="00442D54"/>
    <w:rsid w:val="0045338A"/>
    <w:rsid w:val="004609D1"/>
    <w:rsid w:val="00461B8C"/>
    <w:rsid w:val="00470E1A"/>
    <w:rsid w:val="00473FB7"/>
    <w:rsid w:val="004747A0"/>
    <w:rsid w:val="00475E3A"/>
    <w:rsid w:val="00482E74"/>
    <w:rsid w:val="00491CFA"/>
    <w:rsid w:val="00494710"/>
    <w:rsid w:val="00496F42"/>
    <w:rsid w:val="004978AD"/>
    <w:rsid w:val="004A0B49"/>
    <w:rsid w:val="004A4836"/>
    <w:rsid w:val="004A6226"/>
    <w:rsid w:val="004B0EE6"/>
    <w:rsid w:val="004B63AC"/>
    <w:rsid w:val="004C02EC"/>
    <w:rsid w:val="004C1A21"/>
    <w:rsid w:val="004C3160"/>
    <w:rsid w:val="004C35B2"/>
    <w:rsid w:val="004D1302"/>
    <w:rsid w:val="004D5BE5"/>
    <w:rsid w:val="004E225E"/>
    <w:rsid w:val="004F4880"/>
    <w:rsid w:val="004F6D4C"/>
    <w:rsid w:val="004F77CB"/>
    <w:rsid w:val="00500B67"/>
    <w:rsid w:val="00502DAC"/>
    <w:rsid w:val="005106E8"/>
    <w:rsid w:val="005117E3"/>
    <w:rsid w:val="00520735"/>
    <w:rsid w:val="0053238E"/>
    <w:rsid w:val="00534EB6"/>
    <w:rsid w:val="005376CA"/>
    <w:rsid w:val="0054010D"/>
    <w:rsid w:val="00540686"/>
    <w:rsid w:val="00541464"/>
    <w:rsid w:val="00542E6F"/>
    <w:rsid w:val="00544E33"/>
    <w:rsid w:val="00544E58"/>
    <w:rsid w:val="00550F70"/>
    <w:rsid w:val="005565E9"/>
    <w:rsid w:val="005668BE"/>
    <w:rsid w:val="00570AED"/>
    <w:rsid w:val="00573306"/>
    <w:rsid w:val="005758D2"/>
    <w:rsid w:val="00576CCF"/>
    <w:rsid w:val="0058194F"/>
    <w:rsid w:val="00586CF7"/>
    <w:rsid w:val="00590A83"/>
    <w:rsid w:val="0059207E"/>
    <w:rsid w:val="00594DAC"/>
    <w:rsid w:val="00595377"/>
    <w:rsid w:val="005A1041"/>
    <w:rsid w:val="005A3365"/>
    <w:rsid w:val="005A3D3C"/>
    <w:rsid w:val="005A4D28"/>
    <w:rsid w:val="005B2F8C"/>
    <w:rsid w:val="005C302B"/>
    <w:rsid w:val="005C5152"/>
    <w:rsid w:val="005C7C60"/>
    <w:rsid w:val="005D0816"/>
    <w:rsid w:val="005D2D7A"/>
    <w:rsid w:val="005D66AB"/>
    <w:rsid w:val="005E04AB"/>
    <w:rsid w:val="005E1448"/>
    <w:rsid w:val="005E5EC0"/>
    <w:rsid w:val="005F0B4B"/>
    <w:rsid w:val="005F1786"/>
    <w:rsid w:val="005F252B"/>
    <w:rsid w:val="005F2D5F"/>
    <w:rsid w:val="005F4E21"/>
    <w:rsid w:val="00610A2D"/>
    <w:rsid w:val="006141E5"/>
    <w:rsid w:val="00634FA9"/>
    <w:rsid w:val="00635A66"/>
    <w:rsid w:val="00640A75"/>
    <w:rsid w:val="00643642"/>
    <w:rsid w:val="00645D50"/>
    <w:rsid w:val="006519D7"/>
    <w:rsid w:val="00656DD4"/>
    <w:rsid w:val="00661EBB"/>
    <w:rsid w:val="00663924"/>
    <w:rsid w:val="006754E8"/>
    <w:rsid w:val="006A53BA"/>
    <w:rsid w:val="006B1D31"/>
    <w:rsid w:val="006B423C"/>
    <w:rsid w:val="006C4799"/>
    <w:rsid w:val="006C5F4C"/>
    <w:rsid w:val="006C5FD2"/>
    <w:rsid w:val="006E1287"/>
    <w:rsid w:val="006E1919"/>
    <w:rsid w:val="006E1E20"/>
    <w:rsid w:val="006E4A18"/>
    <w:rsid w:val="006E4F56"/>
    <w:rsid w:val="006E6854"/>
    <w:rsid w:val="006E76C9"/>
    <w:rsid w:val="006E79DB"/>
    <w:rsid w:val="006F1B7B"/>
    <w:rsid w:val="006F22EC"/>
    <w:rsid w:val="006F5688"/>
    <w:rsid w:val="00705E32"/>
    <w:rsid w:val="0070775C"/>
    <w:rsid w:val="00713A27"/>
    <w:rsid w:val="0071665D"/>
    <w:rsid w:val="00716909"/>
    <w:rsid w:val="0072008C"/>
    <w:rsid w:val="00740716"/>
    <w:rsid w:val="00742F66"/>
    <w:rsid w:val="007432AD"/>
    <w:rsid w:val="0076385B"/>
    <w:rsid w:val="00763C24"/>
    <w:rsid w:val="007649A1"/>
    <w:rsid w:val="00772928"/>
    <w:rsid w:val="00773649"/>
    <w:rsid w:val="007772E3"/>
    <w:rsid w:val="00783E8F"/>
    <w:rsid w:val="00790147"/>
    <w:rsid w:val="00790E91"/>
    <w:rsid w:val="007A2961"/>
    <w:rsid w:val="007A3BC4"/>
    <w:rsid w:val="007A40B2"/>
    <w:rsid w:val="007A6605"/>
    <w:rsid w:val="007A7FA3"/>
    <w:rsid w:val="007B75E6"/>
    <w:rsid w:val="007D4F90"/>
    <w:rsid w:val="007E3FA7"/>
    <w:rsid w:val="007E4B9B"/>
    <w:rsid w:val="007E51BF"/>
    <w:rsid w:val="007F661A"/>
    <w:rsid w:val="00802278"/>
    <w:rsid w:val="00802606"/>
    <w:rsid w:val="008126E9"/>
    <w:rsid w:val="008237F6"/>
    <w:rsid w:val="008274FF"/>
    <w:rsid w:val="00827858"/>
    <w:rsid w:val="00836860"/>
    <w:rsid w:val="0084017D"/>
    <w:rsid w:val="0084244C"/>
    <w:rsid w:val="0084309C"/>
    <w:rsid w:val="008433D6"/>
    <w:rsid w:val="00852196"/>
    <w:rsid w:val="0086224D"/>
    <w:rsid w:val="008645D7"/>
    <w:rsid w:val="00864B67"/>
    <w:rsid w:val="008667B1"/>
    <w:rsid w:val="0087190E"/>
    <w:rsid w:val="00872B8D"/>
    <w:rsid w:val="00880DF2"/>
    <w:rsid w:val="00883FF9"/>
    <w:rsid w:val="008918C8"/>
    <w:rsid w:val="00894241"/>
    <w:rsid w:val="0089447F"/>
    <w:rsid w:val="00897B7A"/>
    <w:rsid w:val="008A5125"/>
    <w:rsid w:val="008C2B5F"/>
    <w:rsid w:val="008C5F0D"/>
    <w:rsid w:val="008D4560"/>
    <w:rsid w:val="008D5F35"/>
    <w:rsid w:val="008E2561"/>
    <w:rsid w:val="008E262F"/>
    <w:rsid w:val="008E6EBB"/>
    <w:rsid w:val="008F65B7"/>
    <w:rsid w:val="008F671A"/>
    <w:rsid w:val="009022C6"/>
    <w:rsid w:val="00905970"/>
    <w:rsid w:val="00907377"/>
    <w:rsid w:val="009106E6"/>
    <w:rsid w:val="00914297"/>
    <w:rsid w:val="00914F51"/>
    <w:rsid w:val="00921FD3"/>
    <w:rsid w:val="009220D7"/>
    <w:rsid w:val="009227EE"/>
    <w:rsid w:val="0092532C"/>
    <w:rsid w:val="00927174"/>
    <w:rsid w:val="00931697"/>
    <w:rsid w:val="00940A26"/>
    <w:rsid w:val="00942939"/>
    <w:rsid w:val="00946C9F"/>
    <w:rsid w:val="00951861"/>
    <w:rsid w:val="00954CC3"/>
    <w:rsid w:val="00956C67"/>
    <w:rsid w:val="00956ED1"/>
    <w:rsid w:val="00957BDD"/>
    <w:rsid w:val="00972BC1"/>
    <w:rsid w:val="00983DB2"/>
    <w:rsid w:val="00986B43"/>
    <w:rsid w:val="00992F13"/>
    <w:rsid w:val="009931E1"/>
    <w:rsid w:val="00994AF2"/>
    <w:rsid w:val="009950D3"/>
    <w:rsid w:val="009977D9"/>
    <w:rsid w:val="00997A69"/>
    <w:rsid w:val="00997B05"/>
    <w:rsid w:val="009A31A2"/>
    <w:rsid w:val="009B0C2F"/>
    <w:rsid w:val="009B15CE"/>
    <w:rsid w:val="009B4822"/>
    <w:rsid w:val="009B5355"/>
    <w:rsid w:val="009B535D"/>
    <w:rsid w:val="009C163C"/>
    <w:rsid w:val="009C5090"/>
    <w:rsid w:val="009D090D"/>
    <w:rsid w:val="009D6CFB"/>
    <w:rsid w:val="009F14B2"/>
    <w:rsid w:val="00A00CBC"/>
    <w:rsid w:val="00A05561"/>
    <w:rsid w:val="00A12D64"/>
    <w:rsid w:val="00A20D01"/>
    <w:rsid w:val="00A247A6"/>
    <w:rsid w:val="00A263B1"/>
    <w:rsid w:val="00A26748"/>
    <w:rsid w:val="00A40F8C"/>
    <w:rsid w:val="00A41201"/>
    <w:rsid w:val="00A42E9D"/>
    <w:rsid w:val="00A66AB0"/>
    <w:rsid w:val="00A7358D"/>
    <w:rsid w:val="00A75153"/>
    <w:rsid w:val="00A762DA"/>
    <w:rsid w:val="00A76CD7"/>
    <w:rsid w:val="00A9446C"/>
    <w:rsid w:val="00AA3578"/>
    <w:rsid w:val="00AA410E"/>
    <w:rsid w:val="00AA591D"/>
    <w:rsid w:val="00AB27C8"/>
    <w:rsid w:val="00AB7435"/>
    <w:rsid w:val="00AC17F8"/>
    <w:rsid w:val="00AC5770"/>
    <w:rsid w:val="00AC6DF0"/>
    <w:rsid w:val="00AD053A"/>
    <w:rsid w:val="00AD2763"/>
    <w:rsid w:val="00AD42F8"/>
    <w:rsid w:val="00AD5DF9"/>
    <w:rsid w:val="00AE3255"/>
    <w:rsid w:val="00AE51F8"/>
    <w:rsid w:val="00AF2046"/>
    <w:rsid w:val="00AF33A6"/>
    <w:rsid w:val="00AF4937"/>
    <w:rsid w:val="00AF7E94"/>
    <w:rsid w:val="00B076C0"/>
    <w:rsid w:val="00B1005A"/>
    <w:rsid w:val="00B15E77"/>
    <w:rsid w:val="00B17909"/>
    <w:rsid w:val="00B17E06"/>
    <w:rsid w:val="00B26B62"/>
    <w:rsid w:val="00B37EEA"/>
    <w:rsid w:val="00B45E2A"/>
    <w:rsid w:val="00B4618E"/>
    <w:rsid w:val="00B52B54"/>
    <w:rsid w:val="00B5628B"/>
    <w:rsid w:val="00B630D3"/>
    <w:rsid w:val="00B67B9E"/>
    <w:rsid w:val="00B72486"/>
    <w:rsid w:val="00B75E03"/>
    <w:rsid w:val="00B871D9"/>
    <w:rsid w:val="00B8774E"/>
    <w:rsid w:val="00B91AC1"/>
    <w:rsid w:val="00B94730"/>
    <w:rsid w:val="00BA087C"/>
    <w:rsid w:val="00BA2B93"/>
    <w:rsid w:val="00BB00A2"/>
    <w:rsid w:val="00BB5A2E"/>
    <w:rsid w:val="00BB6571"/>
    <w:rsid w:val="00BC2680"/>
    <w:rsid w:val="00BC303F"/>
    <w:rsid w:val="00BC6216"/>
    <w:rsid w:val="00BC6ADB"/>
    <w:rsid w:val="00BD5B4B"/>
    <w:rsid w:val="00BD6F06"/>
    <w:rsid w:val="00BE02CE"/>
    <w:rsid w:val="00BE14A8"/>
    <w:rsid w:val="00BE3982"/>
    <w:rsid w:val="00BE3F7B"/>
    <w:rsid w:val="00BF3ECB"/>
    <w:rsid w:val="00C05CFB"/>
    <w:rsid w:val="00C05E58"/>
    <w:rsid w:val="00C12988"/>
    <w:rsid w:val="00C1506D"/>
    <w:rsid w:val="00C15462"/>
    <w:rsid w:val="00C165A5"/>
    <w:rsid w:val="00C249A1"/>
    <w:rsid w:val="00C30927"/>
    <w:rsid w:val="00C31D1F"/>
    <w:rsid w:val="00C3455A"/>
    <w:rsid w:val="00C371AB"/>
    <w:rsid w:val="00C509DC"/>
    <w:rsid w:val="00C515B8"/>
    <w:rsid w:val="00C570D1"/>
    <w:rsid w:val="00C572B1"/>
    <w:rsid w:val="00C578EF"/>
    <w:rsid w:val="00C620A4"/>
    <w:rsid w:val="00C62FCD"/>
    <w:rsid w:val="00C649CD"/>
    <w:rsid w:val="00CA23DA"/>
    <w:rsid w:val="00CA4083"/>
    <w:rsid w:val="00CA49D3"/>
    <w:rsid w:val="00CC0686"/>
    <w:rsid w:val="00CD179E"/>
    <w:rsid w:val="00CE00DA"/>
    <w:rsid w:val="00CF2162"/>
    <w:rsid w:val="00D0131E"/>
    <w:rsid w:val="00D015E0"/>
    <w:rsid w:val="00D04215"/>
    <w:rsid w:val="00D1583E"/>
    <w:rsid w:val="00D16E49"/>
    <w:rsid w:val="00D20E6C"/>
    <w:rsid w:val="00D20F63"/>
    <w:rsid w:val="00D3139F"/>
    <w:rsid w:val="00D4026B"/>
    <w:rsid w:val="00D4739F"/>
    <w:rsid w:val="00D507EE"/>
    <w:rsid w:val="00D50DDC"/>
    <w:rsid w:val="00D51B8A"/>
    <w:rsid w:val="00D53388"/>
    <w:rsid w:val="00D5466F"/>
    <w:rsid w:val="00D637A6"/>
    <w:rsid w:val="00D70EBF"/>
    <w:rsid w:val="00D76A5D"/>
    <w:rsid w:val="00D833D1"/>
    <w:rsid w:val="00D847B1"/>
    <w:rsid w:val="00D87EC4"/>
    <w:rsid w:val="00D96F3A"/>
    <w:rsid w:val="00DA0CFA"/>
    <w:rsid w:val="00DA7523"/>
    <w:rsid w:val="00DB30BF"/>
    <w:rsid w:val="00DB7BED"/>
    <w:rsid w:val="00DD01FF"/>
    <w:rsid w:val="00DD3473"/>
    <w:rsid w:val="00DD502A"/>
    <w:rsid w:val="00DD578A"/>
    <w:rsid w:val="00DE001E"/>
    <w:rsid w:val="00DE621B"/>
    <w:rsid w:val="00DF3D48"/>
    <w:rsid w:val="00DF4166"/>
    <w:rsid w:val="00E03D68"/>
    <w:rsid w:val="00E1175E"/>
    <w:rsid w:val="00E26B15"/>
    <w:rsid w:val="00E27304"/>
    <w:rsid w:val="00E313D9"/>
    <w:rsid w:val="00E35D92"/>
    <w:rsid w:val="00E374D5"/>
    <w:rsid w:val="00E37639"/>
    <w:rsid w:val="00E4463F"/>
    <w:rsid w:val="00E56242"/>
    <w:rsid w:val="00E646C7"/>
    <w:rsid w:val="00E750C1"/>
    <w:rsid w:val="00E7518F"/>
    <w:rsid w:val="00E81762"/>
    <w:rsid w:val="00E96EBF"/>
    <w:rsid w:val="00EA0098"/>
    <w:rsid w:val="00EA016D"/>
    <w:rsid w:val="00EA2CFB"/>
    <w:rsid w:val="00EA5586"/>
    <w:rsid w:val="00EC0EE2"/>
    <w:rsid w:val="00EC152C"/>
    <w:rsid w:val="00EC1935"/>
    <w:rsid w:val="00EC34B8"/>
    <w:rsid w:val="00EC72BA"/>
    <w:rsid w:val="00ED6454"/>
    <w:rsid w:val="00ED6A10"/>
    <w:rsid w:val="00ED7794"/>
    <w:rsid w:val="00EF07A7"/>
    <w:rsid w:val="00EF1C2A"/>
    <w:rsid w:val="00EF66A8"/>
    <w:rsid w:val="00EF7FFE"/>
    <w:rsid w:val="00F06145"/>
    <w:rsid w:val="00F10E12"/>
    <w:rsid w:val="00F1307B"/>
    <w:rsid w:val="00F2157A"/>
    <w:rsid w:val="00F245B4"/>
    <w:rsid w:val="00F35372"/>
    <w:rsid w:val="00F37E5F"/>
    <w:rsid w:val="00F41393"/>
    <w:rsid w:val="00F4668E"/>
    <w:rsid w:val="00F54B50"/>
    <w:rsid w:val="00F603E4"/>
    <w:rsid w:val="00F6512B"/>
    <w:rsid w:val="00F6553F"/>
    <w:rsid w:val="00F67B66"/>
    <w:rsid w:val="00F7467D"/>
    <w:rsid w:val="00F80106"/>
    <w:rsid w:val="00F815D0"/>
    <w:rsid w:val="00F82311"/>
    <w:rsid w:val="00F83ECF"/>
    <w:rsid w:val="00F9078F"/>
    <w:rsid w:val="00FA0766"/>
    <w:rsid w:val="00FA0FC5"/>
    <w:rsid w:val="00FB4520"/>
    <w:rsid w:val="00FC2D5A"/>
    <w:rsid w:val="00FC3449"/>
    <w:rsid w:val="00FC44CB"/>
    <w:rsid w:val="00FC5087"/>
    <w:rsid w:val="00FC6062"/>
    <w:rsid w:val="00FC792C"/>
    <w:rsid w:val="00FD3B1E"/>
    <w:rsid w:val="00FD73F8"/>
    <w:rsid w:val="00FE0C95"/>
    <w:rsid w:val="00FE13E3"/>
    <w:rsid w:val="00FE29E8"/>
    <w:rsid w:val="00FE3150"/>
    <w:rsid w:val="00FE626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7B784"/>
  <w15:chartTrackingRefBased/>
  <w15:docId w15:val="{F8768C35-BCFF-4978-95F1-7A3BAD2D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uiPriority="0"/>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D53388"/>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2"/>
    <w:qFormat/>
    <w:rsid w:val="00135F60"/>
    <w:pPr>
      <w:keepNext/>
      <w:keepLines/>
      <w:suppressAutoHyphens/>
      <w:spacing w:after="0" w:line="240" w:lineRule="auto"/>
      <w:outlineLvl w:val="0"/>
    </w:pPr>
    <w:rPr>
      <w:color w:val="22272B" w:themeColor="text1"/>
      <w:sz w:val="36"/>
    </w:rPr>
  </w:style>
  <w:style w:type="paragraph" w:styleId="Heading2">
    <w:name w:val="heading 2"/>
    <w:next w:val="BodyText"/>
    <w:link w:val="Heading2Char"/>
    <w:uiPriority w:val="9"/>
    <w:qFormat/>
    <w:rsid w:val="005565E9"/>
    <w:pPr>
      <w:keepNext/>
      <w:keepLines/>
      <w:pBdr>
        <w:top w:val="single" w:sz="4" w:space="8" w:color="22272B" w:themeColor="text1"/>
      </w:pBdr>
      <w:suppressAutoHyphens/>
      <w:spacing w:before="240" w:after="240" w:line="240" w:lineRule="auto"/>
      <w:outlineLvl w:val="1"/>
    </w:pPr>
    <w:rPr>
      <w:color w:val="22272B" w:themeColor="text1"/>
      <w:sz w:val="28"/>
    </w:rPr>
  </w:style>
  <w:style w:type="paragraph" w:styleId="Heading3">
    <w:name w:val="heading 3"/>
    <w:basedOn w:val="BodyText"/>
    <w:next w:val="BodyText"/>
    <w:link w:val="Heading3Char"/>
    <w:uiPriority w:val="9"/>
    <w:qFormat/>
    <w:rsid w:val="005565E9"/>
    <w:pPr>
      <w:outlineLvl w:val="2"/>
    </w:pPr>
    <w:rPr>
      <w:rFonts w:asciiTheme="majorHAnsi" w:hAnsiTheme="majorHAnsi"/>
      <w:sz w:val="24"/>
      <w:szCs w:val="24"/>
    </w:rPr>
  </w:style>
  <w:style w:type="paragraph" w:styleId="Heading4">
    <w:name w:val="heading 4"/>
    <w:next w:val="BodyText"/>
    <w:link w:val="Heading4Char"/>
    <w:uiPriority w:val="9"/>
    <w:rsid w:val="005565E9"/>
    <w:pPr>
      <w:keepNext/>
      <w:keepLines/>
      <w:suppressAutoHyphens/>
      <w:spacing w:before="120" w:after="120" w:line="240" w:lineRule="auto"/>
      <w:outlineLvl w:val="3"/>
    </w:pPr>
    <w:rPr>
      <w:rFonts w:asciiTheme="majorHAnsi" w:eastAsiaTheme="majorEastAsia" w:hAnsiTheme="majorHAnsi" w:cstheme="majorBidi"/>
      <w:iCs/>
      <w:color w:val="22272B"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EBEBEB"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rsid w:val="00FB4520"/>
    <w:pPr>
      <w:keepNext/>
      <w:keepLines/>
      <w:spacing w:before="40"/>
      <w:outlineLvl w:val="7"/>
    </w:pPr>
    <w:rPr>
      <w:rFonts w:asciiTheme="majorHAnsi" w:eastAsiaTheme="majorEastAsia" w:hAnsiTheme="majorHAnsi" w:cstheme="majorBidi"/>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e Learning"/>
    <w:basedOn w:val="TableNormal"/>
    <w:uiPriority w:val="5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2"/>
    <w:rsid w:val="00B67B9E"/>
    <w:rPr>
      <w:color w:val="22272B" w:themeColor="text1"/>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C165A5"/>
    <w:rPr>
      <w:color w:val="22272B"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4F6D4C"/>
    <w:rPr>
      <w:color w:val="22272B" w:themeColor="text1"/>
      <w:sz w:val="18"/>
    </w:rPr>
  </w:style>
  <w:style w:type="character" w:styleId="PlaceholderText">
    <w:name w:val="Placeholder Text"/>
    <w:basedOn w:val="DefaultParagraphFont"/>
    <w:uiPriority w:val="99"/>
    <w:semiHidden/>
    <w:rsid w:val="004F77CB"/>
    <w:rPr>
      <w:color w:val="808080"/>
    </w:rPr>
  </w:style>
  <w:style w:type="paragraph" w:styleId="Date">
    <w:name w:val="Date"/>
    <w:link w:val="DateChar"/>
    <w:uiPriority w:val="3"/>
    <w:qFormat/>
    <w:rsid w:val="000E2ED1"/>
    <w:pPr>
      <w:spacing w:before="360" w:after="360" w:line="240" w:lineRule="auto"/>
      <w:contextualSpacing/>
    </w:pPr>
    <w:rPr>
      <w:rFonts w:asciiTheme="majorHAnsi" w:eastAsia="Calibri" w:hAnsiTheme="majorHAnsi" w:cs="Calibri"/>
      <w:color w:val="22272B" w:themeColor="text1"/>
      <w:szCs w:val="20"/>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uiPriority w:val="10"/>
    <w:qFormat/>
    <w:rsid w:val="00F54B50"/>
    <w:pPr>
      <w:numPr>
        <w:numId w:val="2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7A3BC4"/>
    <w:pPr>
      <w:numPr>
        <w:numId w:val="26"/>
      </w:numPr>
      <w:suppressAutoHyphens/>
      <w:spacing w:before="120" w:after="120" w:line="240" w:lineRule="auto"/>
    </w:pPr>
    <w:rPr>
      <w:color w:val="22272B" w:themeColor="text1"/>
    </w:rPr>
  </w:style>
  <w:style w:type="paragraph" w:styleId="FootnoteText">
    <w:name w:val="footnote text"/>
    <w:link w:val="FootnoteTextChar"/>
    <w:uiPriority w:val="99"/>
    <w:semiHidden/>
    <w:rsid w:val="004F77CB"/>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semiHidden/>
    <w:rsid w:val="004F77CB"/>
    <w:rPr>
      <w:color w:val="22272B"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22272B" w:themeColor="text1"/>
    </w:rPr>
  </w:style>
  <w:style w:type="character" w:customStyle="1" w:styleId="BodyTextChar">
    <w:name w:val="Body Text Char"/>
    <w:basedOn w:val="DefaultParagraphFont"/>
    <w:link w:val="BodyText"/>
    <w:rsid w:val="004F6D4C"/>
    <w:rPr>
      <w:color w:val="22272B" w:themeColor="text1"/>
    </w:rPr>
  </w:style>
  <w:style w:type="character" w:customStyle="1" w:styleId="Heading2Char">
    <w:name w:val="Heading 2 Char"/>
    <w:basedOn w:val="DefaultParagraphFont"/>
    <w:link w:val="Heading2"/>
    <w:uiPriority w:val="9"/>
    <w:rsid w:val="005565E9"/>
    <w:rPr>
      <w:color w:val="22272B" w:themeColor="text1"/>
      <w:sz w:val="28"/>
    </w:rPr>
  </w:style>
  <w:style w:type="character" w:customStyle="1" w:styleId="Heading3Char">
    <w:name w:val="Heading 3 Char"/>
    <w:basedOn w:val="DefaultParagraphFont"/>
    <w:link w:val="Heading3"/>
    <w:uiPriority w:val="9"/>
    <w:rsid w:val="005565E9"/>
    <w:rPr>
      <w:rFonts w:asciiTheme="majorHAnsi" w:hAnsiTheme="majorHAnsi"/>
      <w:color w:val="22272B" w:themeColor="text1"/>
      <w:sz w:val="24"/>
      <w:szCs w:val="24"/>
    </w:rPr>
  </w:style>
  <w:style w:type="character" w:customStyle="1" w:styleId="Heading4Char">
    <w:name w:val="Heading 4 Char"/>
    <w:basedOn w:val="DefaultParagraphFont"/>
    <w:link w:val="Heading4"/>
    <w:uiPriority w:val="9"/>
    <w:rsid w:val="005565E9"/>
    <w:rPr>
      <w:rFonts w:asciiTheme="majorHAnsi" w:eastAsiaTheme="majorEastAsia" w:hAnsiTheme="majorHAnsi" w:cstheme="majorBidi"/>
      <w:iCs/>
      <w:color w:val="22272B"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EBEBEB"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F77CB"/>
    <w:rPr>
      <w:color w:val="22272B" w:themeColor="text1"/>
      <w:u w:val="single"/>
    </w:rPr>
  </w:style>
  <w:style w:type="paragraph" w:styleId="ListBullet2">
    <w:name w:val="List Bullet 2"/>
    <w:uiPriority w:val="10"/>
    <w:qFormat/>
    <w:rsid w:val="0059207E"/>
    <w:pPr>
      <w:numPr>
        <w:numId w:val="16"/>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22272B"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22272B" w:themeColor="text1"/>
      <w:szCs w:val="24"/>
      <w:lang w:eastAsia="en-US"/>
    </w:rPr>
  </w:style>
  <w:style w:type="paragraph" w:customStyle="1" w:styleId="DescriptororName">
    <w:name w:val="Descriptor or Name"/>
    <w:next w:val="Normal"/>
    <w:uiPriority w:val="1"/>
    <w:qFormat/>
    <w:rsid w:val="00576CCF"/>
    <w:pPr>
      <w:tabs>
        <w:tab w:val="right" w:pos="10206"/>
      </w:tabs>
      <w:suppressAutoHyphens/>
      <w:spacing w:after="720" w:line="240" w:lineRule="auto"/>
      <w:ind w:right="1701"/>
      <w:contextualSpacing/>
    </w:pPr>
    <w:rPr>
      <w:rFonts w:asciiTheme="majorHAnsi" w:hAnsiTheme="majorHAnsi"/>
      <w:color w:val="22272B" w:themeColor="text1"/>
      <w:sz w:val="28"/>
    </w:rPr>
  </w:style>
  <w:style w:type="character" w:customStyle="1" w:styleId="BoldItalic">
    <w:name w:val="Bold Italic"/>
    <w:basedOn w:val="DefaultParagraphFont"/>
    <w:uiPriority w:val="22"/>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146CFD" w:themeColor="accent2"/>
        <w:left w:val="single" w:sz="4" w:space="0" w:color="146CFD" w:themeColor="accent2"/>
        <w:bottom w:val="single" w:sz="4" w:space="0" w:color="146CFD" w:themeColor="accent2"/>
        <w:right w:val="single" w:sz="4" w:space="0" w:color="146CFD" w:themeColor="accent2"/>
      </w:tblBorders>
    </w:tblPr>
    <w:tblStylePr w:type="firstRow">
      <w:rPr>
        <w:b/>
        <w:bCs/>
        <w:color w:val="FFFFFF" w:themeColor="background1"/>
      </w:rPr>
      <w:tblPr/>
      <w:tcPr>
        <w:shd w:val="clear" w:color="auto" w:fill="146CFD" w:themeFill="accent2"/>
      </w:tcPr>
    </w:tblStylePr>
    <w:tblStylePr w:type="lastRow">
      <w:rPr>
        <w:b/>
        <w:bCs/>
      </w:rPr>
      <w:tblPr/>
      <w:tcPr>
        <w:tcBorders>
          <w:top w:val="double" w:sz="4" w:space="0" w:color="146CF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6CFD" w:themeColor="accent2"/>
          <w:right w:val="single" w:sz="4" w:space="0" w:color="146CFD" w:themeColor="accent2"/>
        </w:tcBorders>
      </w:tcPr>
    </w:tblStylePr>
    <w:tblStylePr w:type="band1Horz">
      <w:tblPr/>
      <w:tcPr>
        <w:tcBorders>
          <w:top w:val="single" w:sz="4" w:space="0" w:color="146CFD" w:themeColor="accent2"/>
          <w:bottom w:val="single" w:sz="4" w:space="0" w:color="146CF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6CFD" w:themeColor="accent2"/>
          <w:left w:val="nil"/>
        </w:tcBorders>
      </w:tcPr>
    </w:tblStylePr>
    <w:tblStylePr w:type="swCell">
      <w:tblPr/>
      <w:tcPr>
        <w:tcBorders>
          <w:top w:val="double" w:sz="4" w:space="0" w:color="146CFD"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firstCol">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lastCol">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1Vert">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2Vert">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1Horz">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2Horz">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swCell">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character" w:customStyle="1" w:styleId="DateChar">
    <w:name w:val="Date Char"/>
    <w:basedOn w:val="DefaultParagraphFont"/>
    <w:link w:val="Date"/>
    <w:uiPriority w:val="3"/>
    <w:rsid w:val="000E2ED1"/>
    <w:rPr>
      <w:rFonts w:asciiTheme="majorHAnsi" w:eastAsia="Calibri" w:hAnsiTheme="majorHAnsi" w:cs="Calibri"/>
      <w:color w:val="22272B" w:themeColor="text1"/>
      <w:szCs w:val="20"/>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D7153A" w:themeColor="text2"/>
    </w:rPr>
  </w:style>
  <w:style w:type="character" w:customStyle="1" w:styleId="PublicSansLight">
    <w:name w:val="Public Sans Light"/>
    <w:basedOn w:val="DefaultParagraphFont"/>
    <w:uiPriority w:val="19"/>
    <w:qFormat/>
    <w:rsid w:val="00116733"/>
    <w:rPr>
      <w:rFonts w:asciiTheme="minorHAnsi" w:hAnsiTheme="minorHAnsi"/>
    </w:rPr>
  </w:style>
  <w:style w:type="paragraph" w:customStyle="1" w:styleId="DocumentType">
    <w:name w:val="Document Type"/>
    <w:next w:val="Heading1"/>
    <w:uiPriority w:val="2"/>
    <w:qFormat/>
    <w:rsid w:val="00927174"/>
    <w:pPr>
      <w:suppressAutoHyphens/>
      <w:spacing w:after="0" w:line="240" w:lineRule="auto"/>
      <w:contextualSpacing/>
    </w:pPr>
    <w:rPr>
      <w:rFonts w:asciiTheme="majorHAnsi" w:hAnsiTheme="majorHAnsi"/>
      <w:color w:val="22272B" w:themeColor="text1"/>
      <w:sz w:val="36"/>
    </w:rPr>
  </w:style>
  <w:style w:type="character" w:styleId="CommentReference">
    <w:name w:val="annotation reference"/>
    <w:basedOn w:val="DefaultParagraphFont"/>
    <w:uiPriority w:val="99"/>
    <w:semiHidden/>
    <w:unhideWhenUsed/>
    <w:rsid w:val="00FA0766"/>
    <w:rPr>
      <w:sz w:val="16"/>
      <w:szCs w:val="16"/>
    </w:rPr>
  </w:style>
  <w:style w:type="paragraph" w:styleId="CommentText">
    <w:name w:val="annotation text"/>
    <w:basedOn w:val="Normal"/>
    <w:link w:val="CommentTextChar"/>
    <w:unhideWhenUsed/>
    <w:rsid w:val="00FA0766"/>
    <w:pPr>
      <w:spacing w:before="60" w:after="120"/>
    </w:pPr>
    <w:rPr>
      <w:rFonts w:asciiTheme="minorHAnsi" w:eastAsia="MS Mincho" w:hAnsiTheme="minorHAnsi" w:cs="Times New Roman"/>
      <w:color w:val="auto"/>
      <w:lang w:eastAsia="en-US"/>
    </w:rPr>
  </w:style>
  <w:style w:type="character" w:customStyle="1" w:styleId="CommentTextChar">
    <w:name w:val="Comment Text Char"/>
    <w:basedOn w:val="DefaultParagraphFont"/>
    <w:link w:val="CommentText"/>
    <w:rsid w:val="00FA0766"/>
    <w:rPr>
      <w:rFonts w:eastAsia="MS Mincho" w:cs="Times New Roman"/>
      <w:sz w:val="20"/>
      <w:szCs w:val="20"/>
      <w:lang w:eastAsia="en-US"/>
    </w:rPr>
  </w:style>
  <w:style w:type="paragraph" w:styleId="ListParagraph">
    <w:name w:val="List Paragraph"/>
    <w:aliases w:val="DdeM List Paragraph,Bullet List Paragraph,Bullets 1,Recommendation"/>
    <w:basedOn w:val="Normal"/>
    <w:link w:val="ListParagraphChar"/>
    <w:uiPriority w:val="34"/>
    <w:qFormat/>
    <w:rsid w:val="00FA0766"/>
    <w:pPr>
      <w:spacing w:before="60" w:after="120"/>
      <w:ind w:left="720"/>
      <w:contextualSpacing/>
    </w:pPr>
    <w:rPr>
      <w:rFonts w:asciiTheme="minorHAnsi" w:eastAsia="MS Mincho" w:hAnsiTheme="minorHAnsi" w:cs="Times New Roman"/>
      <w:color w:val="auto"/>
      <w:sz w:val="22"/>
      <w:szCs w:val="22"/>
      <w:lang w:eastAsia="en-US"/>
    </w:rPr>
  </w:style>
  <w:style w:type="character" w:customStyle="1" w:styleId="ListParagraphChar">
    <w:name w:val="List Paragraph Char"/>
    <w:aliases w:val="DdeM List Paragraph Char,Bullet List Paragraph Char,Bullets 1 Char,Recommendation Char"/>
    <w:basedOn w:val="DefaultParagraphFont"/>
    <w:link w:val="ListParagraph"/>
    <w:uiPriority w:val="34"/>
    <w:qFormat/>
    <w:locked/>
    <w:rsid w:val="00FA0766"/>
    <w:rPr>
      <w:rFonts w:eastAsia="MS Mincho" w:cs="Times New Roman"/>
      <w:lang w:eastAsia="en-US"/>
    </w:rPr>
  </w:style>
  <w:style w:type="table" w:styleId="GridTable1Light">
    <w:name w:val="Grid Table 1 Light"/>
    <w:basedOn w:val="TableNormal"/>
    <w:uiPriority w:val="46"/>
    <w:rsid w:val="00F6512B"/>
    <w:pPr>
      <w:spacing w:after="0" w:line="240" w:lineRule="auto"/>
    </w:pPr>
    <w:rPr>
      <w:rFonts w:ascii="Open Sans" w:eastAsia="MS Mincho" w:hAnsi="Open Sans" w:cs="Times New Roman"/>
      <w:sz w:val="20"/>
      <w:szCs w:val="20"/>
      <w:lang w:eastAsia="en-US"/>
    </w:rPr>
    <w:tblPr>
      <w:tblStyleRowBandSize w:val="1"/>
      <w:tblStyleColBandSize w:val="1"/>
      <w:tblBorders>
        <w:top w:val="single" w:sz="4" w:space="0" w:color="9EA9B2" w:themeColor="text1" w:themeTint="66"/>
        <w:left w:val="single" w:sz="4" w:space="0" w:color="9EA9B2" w:themeColor="text1" w:themeTint="66"/>
        <w:bottom w:val="single" w:sz="4" w:space="0" w:color="9EA9B2" w:themeColor="text1" w:themeTint="66"/>
        <w:right w:val="single" w:sz="4" w:space="0" w:color="9EA9B2" w:themeColor="text1" w:themeTint="66"/>
        <w:insideH w:val="single" w:sz="4" w:space="0" w:color="9EA9B2" w:themeColor="text1" w:themeTint="66"/>
        <w:insideV w:val="single" w:sz="4" w:space="0" w:color="9EA9B2" w:themeColor="text1" w:themeTint="66"/>
      </w:tblBorders>
    </w:tblPr>
    <w:tblStylePr w:type="firstRow">
      <w:rPr>
        <w:b/>
        <w:bCs/>
      </w:rPr>
      <w:tblPr/>
      <w:tcPr>
        <w:tcBorders>
          <w:bottom w:val="single" w:sz="12" w:space="0" w:color="6E7E8B" w:themeColor="text1" w:themeTint="99"/>
        </w:tcBorders>
      </w:tcPr>
    </w:tblStylePr>
    <w:tblStylePr w:type="lastRow">
      <w:rPr>
        <w:b/>
        <w:bCs/>
      </w:rPr>
      <w:tblPr/>
      <w:tcPr>
        <w:tcBorders>
          <w:top w:val="double" w:sz="2" w:space="0" w:color="6E7E8B"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FB4520"/>
    <w:pPr>
      <w:spacing w:before="60" w:after="200"/>
    </w:pPr>
    <w:rPr>
      <w:rFonts w:asciiTheme="minorHAnsi" w:eastAsia="MS Mincho" w:hAnsiTheme="minorHAnsi" w:cs="Times New Roman"/>
      <w:iCs/>
      <w:color w:val="EBEBEB" w:themeColor="background2"/>
      <w:sz w:val="18"/>
      <w:szCs w:val="18"/>
      <w:lang w:eastAsia="en-US"/>
    </w:rPr>
  </w:style>
  <w:style w:type="character" w:customStyle="1" w:styleId="Heading8Char">
    <w:name w:val="Heading 8 Char"/>
    <w:basedOn w:val="DefaultParagraphFont"/>
    <w:link w:val="Heading8"/>
    <w:uiPriority w:val="9"/>
    <w:semiHidden/>
    <w:rsid w:val="00FB4520"/>
    <w:rPr>
      <w:rFonts w:asciiTheme="majorHAnsi" w:eastAsiaTheme="majorEastAsia" w:hAnsiTheme="majorHAnsi" w:cstheme="majorBidi"/>
      <w:color w:val="3F484F" w:themeColor="text1" w:themeTint="D8"/>
      <w:sz w:val="21"/>
      <w:szCs w:val="21"/>
      <w:lang w:eastAsia="en-US"/>
    </w:rPr>
  </w:style>
  <w:style w:type="paragraph" w:styleId="CommentSubject">
    <w:name w:val="annotation subject"/>
    <w:basedOn w:val="CommentText"/>
    <w:next w:val="CommentText"/>
    <w:link w:val="CommentSubjectChar"/>
    <w:uiPriority w:val="99"/>
    <w:semiHidden/>
    <w:unhideWhenUsed/>
    <w:rsid w:val="00DD01FF"/>
    <w:pPr>
      <w:spacing w:before="0"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DD01FF"/>
    <w:rPr>
      <w:rFonts w:ascii="Calibri" w:eastAsia="Calibri" w:hAnsi="Calibri" w:cs="Calibri"/>
      <w:b/>
      <w:bCs/>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data.transport.nsw.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cintosh\Downloads\nswgov_masterbrand_agenda_wdescriptor_may_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41A095B09A4E82A750717A51CD809D"/>
        <w:category>
          <w:name w:val="General"/>
          <w:gallery w:val="placeholder"/>
        </w:category>
        <w:types>
          <w:type w:val="bbPlcHdr"/>
        </w:types>
        <w:behaviors>
          <w:behavior w:val="content"/>
        </w:behaviors>
        <w:guid w:val="{BC897ADB-17F0-48F4-AC6E-0B6CA8E3742C}"/>
      </w:docPartPr>
      <w:docPartBody>
        <w:p w:rsidR="00A518BD" w:rsidRDefault="00A518BD">
          <w:pPr>
            <w:pStyle w:val="5B41A095B09A4E82A750717A51CD809D"/>
          </w:pPr>
          <w:r w:rsidRPr="005C68F6">
            <w:rPr>
              <w:rStyle w:val="PlaceholderText"/>
            </w:rPr>
            <w:t>Click or tap here to enter text.</w:t>
          </w:r>
        </w:p>
      </w:docPartBody>
    </w:docPart>
    <w:docPart>
      <w:docPartPr>
        <w:name w:val="6ACFCFE8E0C240108AC9C4995EFBB9AA"/>
        <w:category>
          <w:name w:val="General"/>
          <w:gallery w:val="placeholder"/>
        </w:category>
        <w:types>
          <w:type w:val="bbPlcHdr"/>
        </w:types>
        <w:behaviors>
          <w:behavior w:val="content"/>
        </w:behaviors>
        <w:guid w:val="{AA86E046-26E3-4548-B83C-898E04D46D12}"/>
      </w:docPartPr>
      <w:docPartBody>
        <w:p w:rsidR="00A518BD" w:rsidRDefault="00A518BD">
          <w:pPr>
            <w:pStyle w:val="6ACFCFE8E0C240108AC9C4995EFBB9AA"/>
          </w:pPr>
          <w:r w:rsidRPr="00194597">
            <w:rPr>
              <w:rStyle w:val="PlaceholderText"/>
            </w:rPr>
            <w:t>[</w:t>
          </w:r>
          <w:r w:rsidRPr="00956C67">
            <w:rPr>
              <w:rStyle w:val="PlaceholderText"/>
            </w:rPr>
            <w:t xml:space="preserve">Click here to enter </w:t>
          </w:r>
          <w:r>
            <w:rPr>
              <w:rStyle w:val="PlaceholderText"/>
            </w:rPr>
            <w:t xml:space="preserve">Document </w:t>
          </w:r>
          <w:r w:rsidRPr="00956C67">
            <w:rPr>
              <w:rStyle w:val="PlaceholderText"/>
            </w:rPr>
            <w:t>Title – 2 lines maximum</w:t>
          </w:r>
          <w:r>
            <w:rPr>
              <w:rStyle w:val="PlaceholderText"/>
            </w:rPr>
            <w:t>.</w:t>
          </w:r>
          <w:r w:rsidRPr="0019459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altName w:val="Calibri"/>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8BD"/>
    <w:rsid w:val="0054010D"/>
    <w:rsid w:val="00634FA9"/>
    <w:rsid w:val="00827858"/>
    <w:rsid w:val="009227EE"/>
    <w:rsid w:val="00A518BD"/>
    <w:rsid w:val="00B17E06"/>
    <w:rsid w:val="00B630D3"/>
    <w:rsid w:val="00F413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B41A095B09A4E82A750717A51CD809D">
    <w:name w:val="5B41A095B09A4E82A750717A51CD809D"/>
  </w:style>
  <w:style w:type="paragraph" w:customStyle="1" w:styleId="6ACFCFE8E0C240108AC9C4995EFBB9AA">
    <w:name w:val="6ACFCFE8E0C240108AC9C4995EFBB9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0BE5B70DEDA6408497620D52615BE1" ma:contentTypeVersion="18" ma:contentTypeDescription="Create a new document." ma:contentTypeScope="" ma:versionID="d76d05939f9b4506d9dbbbe043d755c0">
  <xsd:schema xmlns:xsd="http://www.w3.org/2001/XMLSchema" xmlns:xs="http://www.w3.org/2001/XMLSchema" xmlns:p="http://schemas.microsoft.com/office/2006/metadata/properties" xmlns:ns2="0e5ca2ac-52ac-4627-b7a1-c043944a681f" xmlns:ns3="f48e437f-a151-4cc1-ac07-3f336c158a87" xmlns:ns4="9f0ac7ce-5f57-4ea0-9af7-01d4f3f1ccae" targetNamespace="http://schemas.microsoft.com/office/2006/metadata/properties" ma:root="true" ma:fieldsID="71f69f66ecb160b93f331cb0e0ab7237" ns2:_="" ns3:_="" ns4:_="">
    <xsd:import namespace="0e5ca2ac-52ac-4627-b7a1-c043944a681f"/>
    <xsd:import namespace="f48e437f-a151-4cc1-ac07-3f336c158a87"/>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oc_x0020_Type" minOccurs="0"/>
                <xsd:element ref="ns2:Agency"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ca2ac-52ac-4627-b7a1-c043944a6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_x0020_Type" ma:index="12" nillable="true" ma:displayName="Doc Type" ma:description="Proposal &#10;Effectiveness Report&#10;Email&#10;Other Attachment" ma:internalName="Doc_x0020_Type">
      <xsd:simpleType>
        <xsd:restriction base="dms:Text">
          <xsd:maxLength value="255"/>
        </xsd:restriction>
      </xsd:simpleType>
    </xsd:element>
    <xsd:element name="Agency" ma:index="13" nillable="true" ma:displayName="Agency" ma:format="Dropdown" ma:internalName="Agency">
      <xsd:simpleType>
        <xsd:restriction base="dms:Text">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8e437f-a151-4cc1-ac07-3f336c158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02d7d576-7606-4ed1-b84b-0589de56a1e6}" ma:internalName="TaxCatchAll" ma:showField="CatchAllData" ma:web="f48e437f-a151-4cc1-ac07-3f336c158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Doc_x0020_Type xmlns="0e5ca2ac-52ac-4627-b7a1-c043944a681f" xsi:nil="true"/>
    <Agency xmlns="0e5ca2ac-52ac-4627-b7a1-c043944a681f" xsi:nil="true"/>
    <lcf76f155ced4ddcb4097134ff3c332f xmlns="0e5ca2ac-52ac-4627-b7a1-c043944a681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958AC-8EE0-4E2F-867A-DEC99B8E7FD7}">
  <ds:schemaRefs>
    <ds:schemaRef ds:uri="http://schemas.openxmlformats.org/officeDocument/2006/bibliography"/>
  </ds:schemaRefs>
</ds:datastoreItem>
</file>

<file path=customXml/itemProps2.xml><?xml version="1.0" encoding="utf-8"?>
<ds:datastoreItem xmlns:ds="http://schemas.openxmlformats.org/officeDocument/2006/customXml" ds:itemID="{1429582C-63E1-42C3-94A3-105AC5CFE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ca2ac-52ac-4627-b7a1-c043944a681f"/>
    <ds:schemaRef ds:uri="f48e437f-a151-4cc1-ac07-3f336c158a87"/>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33D2A6-4B61-4EED-BDFE-6E7278BB4DE7}">
  <ds:schemaRefs>
    <ds:schemaRef ds:uri="http://schemas.microsoft.com/office/2006/metadata/properties"/>
    <ds:schemaRef ds:uri="http://schemas.microsoft.com/office/infopath/2007/PartnerControls"/>
    <ds:schemaRef ds:uri="9f0ac7ce-5f57-4ea0-9af7-01d4f3f1ccae"/>
    <ds:schemaRef ds:uri="0e5ca2ac-52ac-4627-b7a1-c043944a681f"/>
  </ds:schemaRefs>
</ds:datastoreItem>
</file>

<file path=customXml/itemProps4.xml><?xml version="1.0" encoding="utf-8"?>
<ds:datastoreItem xmlns:ds="http://schemas.openxmlformats.org/officeDocument/2006/customXml" ds:itemID="{EC4D2B99-122F-4297-9B7A-330BF0FF1C1B}">
  <ds:schemaRefs>
    <ds:schemaRef ds:uri="http://schemas.microsoft.com/sharepoint/v3/contenttype/forms"/>
  </ds:schemaRefs>
</ds:datastoreItem>
</file>

<file path=docMetadata/LabelInfo.xml><?xml version="1.0" encoding="utf-8"?>
<clbl:labelList xmlns:clbl="http://schemas.microsoft.com/office/2020/mipLabelMetadata">
  <clbl:label id="{83709595-deb9-4ceb-bf06-8305974a2062}" enabled="1" method="Standard" siteId="{cb356782-ad9a-47fb-878b-7ebceb85b86c}" contentBits="2" removed="0"/>
</clbl:labelList>
</file>

<file path=docProps/app.xml><?xml version="1.0" encoding="utf-8"?>
<Properties xmlns="http://schemas.openxmlformats.org/officeDocument/2006/extended-properties" xmlns:vt="http://schemas.openxmlformats.org/officeDocument/2006/docPropsVTypes">
  <Template>nswgov_masterbrand_agenda_wdescriptor_may_2023</Template>
  <TotalTime>5</TotalTime>
  <Pages>4</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Summary Factsheet</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Factsheet</dc:title>
  <dc:subject/>
  <dc:creator>Brandon McIntosh</dc:creator>
  <cp:keywords/>
  <dc:description/>
  <cp:lastModifiedBy>Mende Gorgievski</cp:lastModifiedBy>
  <cp:revision>3</cp:revision>
  <cp:lastPrinted>2022-02-08T07:22:00Z</cp:lastPrinted>
  <dcterms:created xsi:type="dcterms:W3CDTF">2025-06-07T23:26:00Z</dcterms:created>
  <dcterms:modified xsi:type="dcterms:W3CDTF">2025-06-10T10:04:00Z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3281a577,d3b2727,79ad5c5</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ies>
</file>