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DB165" w14:textId="113AA8A6" w:rsidR="00326DF1" w:rsidRPr="00D76A5D" w:rsidRDefault="00D53388" w:rsidP="00576CCF">
      <w:pPr>
        <w:pStyle w:val="DescriptororName"/>
      </w:pPr>
      <w:r w:rsidRPr="00D53388">
        <w:rPr>
          <w:noProof/>
        </w:rPr>
        <w:drawing>
          <wp:inline distT="0" distB="0" distL="0" distR="0" wp14:anchorId="62043CF8" wp14:editId="5684A0EE">
            <wp:extent cx="840296" cy="728838"/>
            <wp:effectExtent l="0" t="0" r="0" b="0"/>
            <wp:docPr id="7" name="Picture 6" descr="A red and blue logo on a black background&#10;&#10;Description automatically generated">
              <a:extLst xmlns:a="http://schemas.openxmlformats.org/drawingml/2006/main">
                <a:ext uri="{FF2B5EF4-FFF2-40B4-BE49-F238E27FC236}">
                  <a16:creationId xmlns:a16="http://schemas.microsoft.com/office/drawing/2014/main" id="{087EE930-49B6-79E4-2139-91FA07C2B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red and blue logo on a black background&#10;&#10;Description automatically generated">
                      <a:extLst>
                        <a:ext uri="{FF2B5EF4-FFF2-40B4-BE49-F238E27FC236}">
                          <a16:creationId xmlns:a16="http://schemas.microsoft.com/office/drawing/2014/main" id="{087EE930-49B6-79E4-2139-91FA07C2BB13}"/>
                        </a:ext>
                      </a:extLst>
                    </pic:cNvPr>
                    <pic:cNvPicPr>
                      <a:picLocks noChangeAspect="1"/>
                    </pic:cNvPicPr>
                  </pic:nvPicPr>
                  <pic:blipFill rotWithShape="1">
                    <a:blip r:embed="rId11"/>
                    <a:srcRect l="54933"/>
                    <a:stretch/>
                  </pic:blipFill>
                  <pic:spPr>
                    <a:xfrm>
                      <a:off x="0" y="0"/>
                      <a:ext cx="840296" cy="728838"/>
                    </a:xfrm>
                    <a:prstGeom prst="rect">
                      <a:avLst/>
                    </a:prstGeom>
                  </pic:spPr>
                </pic:pic>
              </a:graphicData>
            </a:graphic>
          </wp:inline>
        </w:drawing>
      </w:r>
    </w:p>
    <w:p w14:paraId="5ABB329A" w14:textId="27E8E60E" w:rsidR="00AD42F8" w:rsidRPr="00927174" w:rsidRDefault="00CD4B7C" w:rsidP="00927174">
      <w:pPr>
        <w:pStyle w:val="DocumentType"/>
      </w:pPr>
      <w:sdt>
        <w:sdtPr>
          <w:id w:val="-1982835863"/>
          <w:placeholder>
            <w:docPart w:val="5B41A095B09A4E82A750717A51CD809D"/>
          </w:placeholder>
        </w:sdtPr>
        <w:sdtEndPr/>
        <w:sdtContent>
          <w:r w:rsidR="00737506">
            <w:t>Strategic Freight Model 2022 (SFM22)</w:t>
          </w:r>
        </w:sdtContent>
      </w:sdt>
      <w:r w:rsidR="00064974">
        <w:t xml:space="preserve"> </w:t>
      </w:r>
    </w:p>
    <w:p w14:paraId="5A911FA7" w14:textId="265690F0" w:rsidR="00AD42F8" w:rsidRPr="00286717" w:rsidRDefault="00CD4B7C" w:rsidP="00286717">
      <w:pPr>
        <w:pStyle w:val="Heading1"/>
      </w:pPr>
      <w:sdt>
        <w:sdtPr>
          <w:alias w:val="Title"/>
          <w:tag w:val=""/>
          <w:id w:val="2064905903"/>
          <w:lock w:val="sdtLocked"/>
          <w:placeholder>
            <w:docPart w:val="6ACFCFE8E0C240108AC9C4995EFBB9AA"/>
          </w:placeholder>
          <w:dataBinding w:prefixMappings="xmlns:ns0='http://purl.org/dc/elements/1.1/' xmlns:ns1='http://schemas.openxmlformats.org/package/2006/metadata/core-properties' " w:xpath="/ns1:coreProperties[1]/ns0:title[1]" w:storeItemID="{6C3C8BC8-F283-45AE-878A-BAB7291924A1}"/>
          <w:text/>
        </w:sdtPr>
        <w:sdtEndPr/>
        <w:sdtContent>
          <w:r w:rsidR="00737506">
            <w:t>Data dictionary</w:t>
          </w:r>
        </w:sdtContent>
      </w:sdt>
      <w:r w:rsidR="00AD42F8" w:rsidRPr="00286717">
        <w:t xml:space="preserve"> </w:t>
      </w:r>
    </w:p>
    <w:p w14:paraId="0C781E1E" w14:textId="77777777" w:rsidR="00116733" w:rsidRDefault="00116733" w:rsidP="00116733">
      <w:pPr>
        <w:pStyle w:val="BodyText"/>
      </w:pPr>
    </w:p>
    <w:p w14:paraId="5EF2EE9D" w14:textId="3BDD84D3" w:rsidR="00116733" w:rsidRPr="00B273A0" w:rsidRDefault="00DE787F" w:rsidP="000E2ED1">
      <w:pPr>
        <w:pStyle w:val="Date"/>
      </w:pPr>
      <w:r>
        <w:t>This data dictionary provides a high-level overview of data attributes of the SFM22</w:t>
      </w:r>
      <w:r w:rsidR="00030B08">
        <w:t xml:space="preserve"> and the associated Excel flat file</w:t>
      </w:r>
      <w:r>
        <w:t>. These attributes are described in terms of what the freight commodity is used for (that is, the end use)</w:t>
      </w:r>
      <w:r w:rsidR="00030B08">
        <w:t xml:space="preserve">, </w:t>
      </w:r>
      <w:r>
        <w:t>nature of the supply chain between origins and destinations</w:t>
      </w:r>
      <w:r w:rsidR="00030B08">
        <w:t>. A small sample of the structure of the Excel flat file is displayed at the back of this document.</w:t>
      </w:r>
    </w:p>
    <w:p w14:paraId="28B8E723" w14:textId="1EF58BAF" w:rsidR="00116733" w:rsidRPr="00737506" w:rsidRDefault="00737506" w:rsidP="00116733">
      <w:pPr>
        <w:pStyle w:val="Heading2"/>
        <w:rPr>
          <w:rFonts w:ascii="Arial" w:eastAsia="Times New Roman" w:hAnsi="Arial"/>
          <w:color w:val="002664"/>
          <w:szCs w:val="28"/>
          <w:lang w:eastAsia="en-AU"/>
        </w:rPr>
      </w:pPr>
      <w:r w:rsidRPr="00737506">
        <w:rPr>
          <w:rFonts w:ascii="Arial" w:eastAsia="Times New Roman" w:hAnsi="Arial"/>
          <w:color w:val="002664"/>
          <w:szCs w:val="28"/>
          <w:lang w:eastAsia="en-AU"/>
        </w:rPr>
        <w:t>Introduction and overview</w:t>
      </w:r>
    </w:p>
    <w:p w14:paraId="0422D901" w14:textId="14839947" w:rsidR="00116733" w:rsidRDefault="00737506" w:rsidP="00116733">
      <w:pPr>
        <w:pStyle w:val="BodyText"/>
      </w:pPr>
      <w:r>
        <w:t>SFM22 contains road and rail freight origin-destination</w:t>
      </w:r>
      <w:r w:rsidR="00DE787F">
        <w:t xml:space="preserve"> </w:t>
      </w:r>
      <w:r>
        <w:t>movement tonnages for 20 commodity groups transported within and through NSW.  The dataset contains base year (2018) and forecast movement tonnages in 5-year intervals from 2021 to 2061.</w:t>
      </w:r>
    </w:p>
    <w:p w14:paraId="342F87F0" w14:textId="1DC7705F" w:rsidR="00D53388" w:rsidRPr="00737506" w:rsidRDefault="00737506" w:rsidP="00D53388">
      <w:pPr>
        <w:pStyle w:val="Heading2"/>
        <w:rPr>
          <w:rFonts w:ascii="Arial" w:eastAsia="Times New Roman" w:hAnsi="Arial"/>
          <w:color w:val="002664"/>
          <w:szCs w:val="28"/>
          <w:lang w:eastAsia="en-AU"/>
        </w:rPr>
      </w:pPr>
      <w:r w:rsidRPr="00737506">
        <w:rPr>
          <w:rFonts w:ascii="Arial" w:eastAsia="Times New Roman" w:hAnsi="Arial"/>
          <w:color w:val="002664"/>
          <w:szCs w:val="28"/>
          <w:lang w:eastAsia="en-AU"/>
        </w:rPr>
        <w:t>Document purpose</w:t>
      </w:r>
    </w:p>
    <w:p w14:paraId="06CB31F8" w14:textId="7FD3AD42" w:rsidR="00DE787F" w:rsidRPr="00B273A0" w:rsidRDefault="00737506" w:rsidP="00DE787F">
      <w:pPr>
        <w:pStyle w:val="Date"/>
        <w:spacing w:after="120"/>
      </w:pPr>
      <w:r>
        <w:t xml:space="preserve">This document describes the </w:t>
      </w:r>
      <w:r w:rsidRPr="00CC5A0C">
        <w:t>data attributes available</w:t>
      </w:r>
      <w:r w:rsidR="00030B08">
        <w:t xml:space="preserve"> in </w:t>
      </w:r>
      <w:r w:rsidRPr="00CC5A0C">
        <w:t xml:space="preserve">the </w:t>
      </w:r>
      <w:r w:rsidR="00DE787F">
        <w:t xml:space="preserve">SFM22 </w:t>
      </w:r>
      <w:r>
        <w:t>dataset</w:t>
      </w:r>
      <w:r w:rsidR="00030B08">
        <w:t xml:space="preserve"> and the associated Excel flat file</w:t>
      </w:r>
      <w:r>
        <w:t>.</w:t>
      </w:r>
      <w:r w:rsidR="00DE787F">
        <w:t xml:space="preserve"> These attributes are described in terms of what the freight commodity is used for (that is, the end use)</w:t>
      </w:r>
      <w:r w:rsidR="00030B08">
        <w:t xml:space="preserve"> and </w:t>
      </w:r>
      <w:r w:rsidR="00DE787F">
        <w:t>nature of the supply chain between origins and destinations.</w:t>
      </w:r>
    </w:p>
    <w:p w14:paraId="62D2018C" w14:textId="7E542307" w:rsidR="00737506" w:rsidRPr="006B78F8" w:rsidRDefault="00DE787F" w:rsidP="00737506">
      <w:pPr>
        <w:pStyle w:val="BodyText"/>
      </w:pPr>
      <w:r>
        <w:t xml:space="preserve">SFM22 </w:t>
      </w:r>
      <w:r w:rsidR="00737506" w:rsidRPr="006B78F8">
        <w:t>presents the base case, business as usual (BAU) projections of the future unconstrained freight tasks. These forecasts are used to set the overall growth rates for each commodity which is then applied to the respective supply chains for each commodity, this movement dataset is then used in network modelling and assessment of the freight task.</w:t>
      </w:r>
    </w:p>
    <w:p w14:paraId="278AC73B" w14:textId="5E2ED6F6" w:rsidR="00737506" w:rsidRPr="00737506" w:rsidRDefault="00737506" w:rsidP="00D53388">
      <w:pPr>
        <w:pStyle w:val="Heading2"/>
        <w:rPr>
          <w:rFonts w:ascii="Arial" w:eastAsia="Times New Roman" w:hAnsi="Arial"/>
          <w:color w:val="002664"/>
          <w:szCs w:val="28"/>
          <w:lang w:eastAsia="en-AU"/>
        </w:rPr>
      </w:pPr>
      <w:r w:rsidRPr="00737506">
        <w:rPr>
          <w:rFonts w:ascii="Arial" w:eastAsia="Times New Roman" w:hAnsi="Arial"/>
          <w:color w:val="002664"/>
          <w:szCs w:val="28"/>
          <w:lang w:eastAsia="en-AU"/>
        </w:rPr>
        <w:t>Document scope</w:t>
      </w:r>
    </w:p>
    <w:p w14:paraId="43D9F0B8" w14:textId="0C458D54" w:rsidR="00737506" w:rsidRPr="00270D08" w:rsidRDefault="00737506" w:rsidP="00737506">
      <w:pPr>
        <w:pStyle w:val="BodyText"/>
      </w:pPr>
      <w:r>
        <w:t xml:space="preserve">This document focuses purely on the </w:t>
      </w:r>
      <w:r w:rsidRPr="00270D08">
        <w:t>definitions of data attributes included in the SFM22</w:t>
      </w:r>
      <w:r w:rsidR="00030B08">
        <w:t xml:space="preserve"> and associated Excel flat file</w:t>
      </w:r>
      <w:r w:rsidRPr="00270D08">
        <w:t>. The structure, data relationships, drivers and definitions of all data attributes in the SFM22 can be found in the NSW Freight Commodity Demand Forecasts report (to be published in July 2025).</w:t>
      </w:r>
    </w:p>
    <w:p w14:paraId="1AF489CE" w14:textId="3FA94BEF" w:rsidR="00737506" w:rsidRPr="006B78F8" w:rsidRDefault="00737506" w:rsidP="00737506">
      <w:pPr>
        <w:pStyle w:val="BodyText"/>
      </w:pPr>
      <w:r w:rsidRPr="00270D08">
        <w:t>The forecasts in this dataset are generated off base year estimates for commodity demand in 2018. All 2018 numbers in this dataset are estimates of actual demand. The first forecast year</w:t>
      </w:r>
      <w:r w:rsidRPr="006B78F8">
        <w:t xml:space="preserve"> is </w:t>
      </w:r>
      <w:r>
        <w:t xml:space="preserve">2021 </w:t>
      </w:r>
      <w:r w:rsidRPr="006B78F8">
        <w:t>and the last forecast year is 20</w:t>
      </w:r>
      <w:r>
        <w:t>61</w:t>
      </w:r>
      <w:r w:rsidRPr="006B78F8">
        <w:t>. This means forecasts are prepared over a 40</w:t>
      </w:r>
      <w:r>
        <w:t>-</w:t>
      </w:r>
      <w:r w:rsidRPr="006B78F8">
        <w:t xml:space="preserve">year period.  </w:t>
      </w:r>
    </w:p>
    <w:p w14:paraId="325757D6" w14:textId="77777777" w:rsidR="00737506" w:rsidRDefault="00737506" w:rsidP="00737506">
      <w:pPr>
        <w:pStyle w:val="BodyText"/>
      </w:pPr>
      <w:r w:rsidRPr="006B78F8">
        <w:t xml:space="preserve">The freight demand forecasts in this </w:t>
      </w:r>
      <w:r>
        <w:t>dataset</w:t>
      </w:r>
      <w:r w:rsidRPr="006B78F8">
        <w:t xml:space="preserve"> have been compiled by</w:t>
      </w:r>
      <w:r>
        <w:t xml:space="preserve"> the </w:t>
      </w:r>
      <w:r w:rsidRPr="006B78F8">
        <w:t>Transport</w:t>
      </w:r>
      <w:r>
        <w:t xml:space="preserve"> Modelling team within the Planning, Integration and Passenger division.</w:t>
      </w:r>
    </w:p>
    <w:p w14:paraId="5BD188D4" w14:textId="77777777" w:rsidR="00737506" w:rsidRPr="006B78F8" w:rsidRDefault="00737506" w:rsidP="00737506">
      <w:pPr>
        <w:pStyle w:val="BodyText"/>
      </w:pPr>
      <w:r>
        <w:t xml:space="preserve">The forecasts are based on </w:t>
      </w:r>
      <w:r w:rsidRPr="006B78F8">
        <w:t>a mix</w:t>
      </w:r>
      <w:r>
        <w:t xml:space="preserve"> </w:t>
      </w:r>
      <w:r w:rsidRPr="006B78F8">
        <w:t>of methods</w:t>
      </w:r>
      <w:r>
        <w:t xml:space="preserve"> and sources </w:t>
      </w:r>
      <w:r w:rsidRPr="006B78F8">
        <w:t>including:</w:t>
      </w:r>
    </w:p>
    <w:p w14:paraId="107B0FED" w14:textId="77777777" w:rsidR="00737506" w:rsidRPr="00737506" w:rsidRDefault="00737506" w:rsidP="00737506">
      <w:pPr>
        <w:pStyle w:val="ListParagraph"/>
        <w:numPr>
          <w:ilvl w:val="0"/>
          <w:numId w:val="28"/>
        </w:numPr>
        <w:tabs>
          <w:tab w:val="left" w:pos="426"/>
          <w:tab w:val="left" w:pos="851"/>
        </w:tabs>
        <w:suppressAutoHyphens w:val="0"/>
        <w:spacing w:before="0" w:after="240"/>
        <w:rPr>
          <w:lang w:val="en-US"/>
        </w:rPr>
      </w:pPr>
      <w:r w:rsidRPr="00737506">
        <w:rPr>
          <w:lang w:val="en-US"/>
        </w:rPr>
        <w:t>Time-series econometric modelling and statistical analysis;</w:t>
      </w:r>
    </w:p>
    <w:p w14:paraId="5C1EA195" w14:textId="77777777" w:rsidR="00737506" w:rsidRPr="00737506" w:rsidRDefault="00737506" w:rsidP="00737506">
      <w:pPr>
        <w:pStyle w:val="ListParagraph"/>
        <w:numPr>
          <w:ilvl w:val="0"/>
          <w:numId w:val="28"/>
        </w:numPr>
        <w:tabs>
          <w:tab w:val="left" w:pos="426"/>
          <w:tab w:val="left" w:pos="851"/>
        </w:tabs>
        <w:suppressAutoHyphens w:val="0"/>
        <w:spacing w:before="0" w:after="240"/>
        <w:rPr>
          <w:lang w:val="en-US"/>
        </w:rPr>
      </w:pPr>
      <w:r w:rsidRPr="00737506">
        <w:rPr>
          <w:lang w:val="en-US"/>
        </w:rPr>
        <w:t>Extrapolations of long run historical growth trends with adjustments for current and likely changes (used to forecast most agricultural commodities);</w:t>
      </w:r>
    </w:p>
    <w:p w14:paraId="1E29AA98" w14:textId="77777777" w:rsidR="00737506" w:rsidRPr="00737506" w:rsidRDefault="00737506" w:rsidP="00737506">
      <w:pPr>
        <w:pStyle w:val="ListParagraph"/>
        <w:numPr>
          <w:ilvl w:val="0"/>
          <w:numId w:val="28"/>
        </w:numPr>
        <w:tabs>
          <w:tab w:val="left" w:pos="426"/>
          <w:tab w:val="left" w:pos="851"/>
        </w:tabs>
        <w:suppressAutoHyphens w:val="0"/>
        <w:spacing w:before="0" w:after="240"/>
        <w:rPr>
          <w:lang w:val="en-US"/>
        </w:rPr>
      </w:pPr>
      <w:r w:rsidRPr="00737506">
        <w:rPr>
          <w:lang w:val="en-US"/>
        </w:rPr>
        <w:lastRenderedPageBreak/>
        <w:t>Economic, industry, and company-specific literature review, research and analysis;</w:t>
      </w:r>
    </w:p>
    <w:p w14:paraId="3F825E6A" w14:textId="77777777" w:rsidR="00737506" w:rsidRPr="00737506" w:rsidRDefault="00737506" w:rsidP="00737506">
      <w:pPr>
        <w:pStyle w:val="ListParagraph"/>
        <w:numPr>
          <w:ilvl w:val="0"/>
          <w:numId w:val="28"/>
        </w:numPr>
        <w:tabs>
          <w:tab w:val="left" w:pos="426"/>
          <w:tab w:val="left" w:pos="851"/>
        </w:tabs>
        <w:suppressAutoHyphens w:val="0"/>
        <w:spacing w:before="0" w:after="240"/>
        <w:rPr>
          <w:lang w:val="en-US"/>
        </w:rPr>
      </w:pPr>
      <w:r w:rsidRPr="00737506">
        <w:rPr>
          <w:lang w:val="en-US"/>
        </w:rPr>
        <w:t>NSW macroeconomic forecasts (NSW 2021 Intergenerational Report), NSW population, housing and employment forecasts (Travel Zone Projections 2022);</w:t>
      </w:r>
    </w:p>
    <w:p w14:paraId="076CD025" w14:textId="4E44F340" w:rsidR="00737506" w:rsidRPr="00737506" w:rsidRDefault="00737506" w:rsidP="00737506">
      <w:pPr>
        <w:pStyle w:val="ListParagraph"/>
        <w:numPr>
          <w:ilvl w:val="0"/>
          <w:numId w:val="28"/>
        </w:numPr>
        <w:tabs>
          <w:tab w:val="left" w:pos="426"/>
          <w:tab w:val="left" w:pos="851"/>
        </w:tabs>
        <w:suppressAutoHyphens w:val="0"/>
        <w:spacing w:before="0" w:after="240"/>
        <w:rPr>
          <w:lang w:val="en-US"/>
        </w:rPr>
      </w:pPr>
      <w:r w:rsidRPr="00737506">
        <w:rPr>
          <w:lang w:val="en-US"/>
        </w:rPr>
        <w:t>Structural policy assumptions/aspirations and market changes (i.e. rising electric vehicle sales will lower the fuel freight task, move to renewable energy sources will lower coal freight task);</w:t>
      </w:r>
    </w:p>
    <w:p w14:paraId="7479C16D" w14:textId="77777777" w:rsidR="00737506" w:rsidRPr="00737506" w:rsidRDefault="00737506" w:rsidP="00737506">
      <w:pPr>
        <w:pStyle w:val="ListParagraph"/>
        <w:numPr>
          <w:ilvl w:val="0"/>
          <w:numId w:val="28"/>
        </w:numPr>
        <w:tabs>
          <w:tab w:val="left" w:pos="426"/>
          <w:tab w:val="left" w:pos="851"/>
        </w:tabs>
        <w:suppressAutoHyphens w:val="0"/>
        <w:spacing w:before="0" w:after="240"/>
        <w:rPr>
          <w:lang w:val="en-US"/>
        </w:rPr>
      </w:pPr>
      <w:r w:rsidRPr="00737506">
        <w:rPr>
          <w:lang w:val="en-US"/>
        </w:rPr>
        <w:t>Industry competitiveness assumptions and judgements (used to forecast container imports and local production of manufactures);</w:t>
      </w:r>
    </w:p>
    <w:p w14:paraId="7DFE7651" w14:textId="77777777" w:rsidR="00737506" w:rsidRPr="00737506" w:rsidRDefault="00737506" w:rsidP="00737506">
      <w:pPr>
        <w:pStyle w:val="ListParagraph"/>
        <w:numPr>
          <w:ilvl w:val="0"/>
          <w:numId w:val="28"/>
        </w:numPr>
        <w:tabs>
          <w:tab w:val="left" w:pos="426"/>
          <w:tab w:val="left" w:pos="851"/>
        </w:tabs>
        <w:suppressAutoHyphens w:val="0"/>
        <w:spacing w:before="0" w:after="240"/>
        <w:rPr>
          <w:lang w:val="en-US"/>
        </w:rPr>
      </w:pPr>
      <w:r w:rsidRPr="00737506">
        <w:rPr>
          <w:lang w:val="en-US"/>
        </w:rPr>
        <w:t>Departmental forecast assumptions (i.e. future infrastructure construction project list);</w:t>
      </w:r>
    </w:p>
    <w:p w14:paraId="260E0E38" w14:textId="77777777" w:rsidR="00737506" w:rsidRPr="00737506" w:rsidRDefault="00737506" w:rsidP="00737506">
      <w:pPr>
        <w:pStyle w:val="ListParagraph"/>
        <w:numPr>
          <w:ilvl w:val="0"/>
          <w:numId w:val="28"/>
        </w:numPr>
        <w:tabs>
          <w:tab w:val="left" w:pos="426"/>
          <w:tab w:val="left" w:pos="851"/>
        </w:tabs>
        <w:suppressAutoHyphens w:val="0"/>
        <w:spacing w:before="0" w:after="240"/>
        <w:rPr>
          <w:lang w:val="en-US"/>
        </w:rPr>
      </w:pPr>
      <w:r w:rsidRPr="00737506">
        <w:rPr>
          <w:lang w:val="en-US"/>
        </w:rPr>
        <w:t xml:space="preserve">Large project Environmental Impact Studies (i.e. Western Sydney airport EIS); and </w:t>
      </w:r>
    </w:p>
    <w:p w14:paraId="04443983" w14:textId="77777777" w:rsidR="00737506" w:rsidRPr="00737506" w:rsidRDefault="00737506" w:rsidP="00737506">
      <w:pPr>
        <w:pStyle w:val="ListParagraph"/>
        <w:numPr>
          <w:ilvl w:val="0"/>
          <w:numId w:val="28"/>
        </w:numPr>
        <w:tabs>
          <w:tab w:val="left" w:pos="426"/>
          <w:tab w:val="left" w:pos="851"/>
        </w:tabs>
        <w:suppressAutoHyphens w:val="0"/>
        <w:spacing w:before="0" w:after="240"/>
      </w:pPr>
      <w:r w:rsidRPr="00737506">
        <w:rPr>
          <w:lang w:val="en-US"/>
        </w:rPr>
        <w:t>Departmental freight documents (i.e. 2018-23 Freight and Ports Plan regarding container spillover from Port Botany assumptions)</w:t>
      </w:r>
    </w:p>
    <w:p w14:paraId="24311A54" w14:textId="4F8764BC" w:rsidR="00737506" w:rsidRPr="00737506" w:rsidRDefault="00737506" w:rsidP="00D53388">
      <w:pPr>
        <w:pStyle w:val="Heading2"/>
        <w:rPr>
          <w:rFonts w:ascii="Arial" w:eastAsia="Times New Roman" w:hAnsi="Arial"/>
          <w:color w:val="002664"/>
          <w:szCs w:val="28"/>
          <w:lang w:eastAsia="en-AU"/>
        </w:rPr>
      </w:pPr>
      <w:r w:rsidRPr="00737506">
        <w:rPr>
          <w:rFonts w:ascii="Arial" w:eastAsia="Times New Roman" w:hAnsi="Arial"/>
          <w:color w:val="002664"/>
          <w:szCs w:val="28"/>
          <w:lang w:eastAsia="en-AU"/>
        </w:rPr>
        <w:t>Audience</w:t>
      </w:r>
    </w:p>
    <w:p w14:paraId="6F0CA3A2" w14:textId="15A7D83B" w:rsidR="00737506" w:rsidRDefault="00737506" w:rsidP="00737506">
      <w:pPr>
        <w:pStyle w:val="BodyText"/>
      </w:pPr>
      <w:r>
        <w:t>The intended audience of this document includes those who are responsible for developing data visualisations and reports on SFM22 dataset for ongoing analysis, and those who wish to use SFM22 as input into strategic business cases and cost benefit analysis for road, rail, intermodal and port freight infrastructure projects.</w:t>
      </w:r>
    </w:p>
    <w:p w14:paraId="76A59F31" w14:textId="3C88F6C1" w:rsidR="00737506" w:rsidRPr="00737506" w:rsidRDefault="00737506" w:rsidP="00737506">
      <w:pPr>
        <w:pStyle w:val="Heading2"/>
        <w:rPr>
          <w:rFonts w:ascii="Arial" w:eastAsia="Times New Roman" w:hAnsi="Arial"/>
          <w:color w:val="002664"/>
          <w:szCs w:val="28"/>
          <w:lang w:eastAsia="en-AU"/>
        </w:rPr>
      </w:pPr>
      <w:r w:rsidRPr="00737506">
        <w:rPr>
          <w:rFonts w:ascii="Arial" w:eastAsia="Times New Roman" w:hAnsi="Arial"/>
          <w:color w:val="002664"/>
          <w:szCs w:val="28"/>
          <w:lang w:eastAsia="en-AU"/>
        </w:rPr>
        <w:t>Data dictionary</w:t>
      </w:r>
    </w:p>
    <w:p w14:paraId="46F1BA2F" w14:textId="6BFEF269" w:rsidR="00737506" w:rsidRPr="007C1E40" w:rsidRDefault="00DE787F" w:rsidP="00D53388">
      <w:pPr>
        <w:pStyle w:val="Heading2"/>
        <w:rPr>
          <w:sz w:val="22"/>
        </w:rPr>
      </w:pPr>
      <w:r w:rsidRPr="00DE787F">
        <w:rPr>
          <w:sz w:val="22"/>
        </w:rPr>
        <w:t xml:space="preserve">The </w:t>
      </w:r>
      <w:r w:rsidRPr="007C1E40">
        <w:rPr>
          <w:sz w:val="22"/>
        </w:rPr>
        <w:t>commodity data attributes available in the SFM22 are summarised below.</w:t>
      </w:r>
    </w:p>
    <w:tbl>
      <w:tblPr>
        <w:tblStyle w:val="ListTable3-Accent5"/>
        <w:tblW w:w="5000" w:type="pct"/>
        <w:tblLook w:val="04A0" w:firstRow="1" w:lastRow="0" w:firstColumn="1" w:lastColumn="0" w:noHBand="0" w:noVBand="1"/>
      </w:tblPr>
      <w:tblGrid>
        <w:gridCol w:w="2406"/>
        <w:gridCol w:w="3543"/>
        <w:gridCol w:w="4245"/>
      </w:tblGrid>
      <w:tr w:rsidR="00CD4B7C" w:rsidRPr="00CD4B7C" w14:paraId="7404BF9A" w14:textId="77777777" w:rsidTr="007D671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180" w:type="pct"/>
          </w:tcPr>
          <w:p w14:paraId="54608E67" w14:textId="6BCC8606" w:rsidR="00D53388" w:rsidRPr="00CD4B7C" w:rsidRDefault="00DE787F" w:rsidP="000C6F72">
            <w:pPr>
              <w:pStyle w:val="BodyText"/>
              <w:rPr>
                <w:color w:val="auto"/>
              </w:rPr>
            </w:pPr>
            <w:r w:rsidRPr="00CD4B7C">
              <w:rPr>
                <w:color w:val="auto"/>
              </w:rPr>
              <w:t>Commodity group</w:t>
            </w:r>
          </w:p>
        </w:tc>
        <w:tc>
          <w:tcPr>
            <w:tcW w:w="1738" w:type="pct"/>
          </w:tcPr>
          <w:p w14:paraId="1743EE8C" w14:textId="03FCA8A1" w:rsidR="00D53388" w:rsidRPr="00CD4B7C" w:rsidRDefault="00DE787F" w:rsidP="000C6F72">
            <w:pPr>
              <w:pStyle w:val="BodyText"/>
              <w:cnfStyle w:val="100000000000" w:firstRow="1" w:lastRow="0" w:firstColumn="0" w:lastColumn="0" w:oddVBand="0" w:evenVBand="0" w:oddHBand="0" w:evenHBand="0" w:firstRowFirstColumn="0" w:firstRowLastColumn="0" w:lastRowFirstColumn="0" w:lastRowLastColumn="0"/>
              <w:rPr>
                <w:color w:val="auto"/>
              </w:rPr>
            </w:pPr>
            <w:r w:rsidRPr="00CD4B7C">
              <w:rPr>
                <w:color w:val="auto"/>
              </w:rPr>
              <w:t>End user demand</w:t>
            </w:r>
          </w:p>
        </w:tc>
        <w:tc>
          <w:tcPr>
            <w:tcW w:w="2082" w:type="pct"/>
          </w:tcPr>
          <w:p w14:paraId="242329BB" w14:textId="0255DB80" w:rsidR="00D53388" w:rsidRPr="00CD4B7C" w:rsidRDefault="00DE787F" w:rsidP="000C6F72">
            <w:pPr>
              <w:pStyle w:val="BodyText"/>
              <w:cnfStyle w:val="100000000000" w:firstRow="1" w:lastRow="0" w:firstColumn="0" w:lastColumn="0" w:oddVBand="0" w:evenVBand="0" w:oddHBand="0" w:evenHBand="0" w:firstRowFirstColumn="0" w:firstRowLastColumn="0" w:lastRowFirstColumn="0" w:lastRowLastColumn="0"/>
              <w:rPr>
                <w:color w:val="auto"/>
              </w:rPr>
            </w:pPr>
            <w:r w:rsidRPr="00CD4B7C">
              <w:rPr>
                <w:color w:val="auto"/>
              </w:rPr>
              <w:t>Origin-destination supply chain</w:t>
            </w:r>
          </w:p>
        </w:tc>
      </w:tr>
      <w:tr w:rsidR="00CD4B7C" w:rsidRPr="00CD4B7C" w14:paraId="7413DBA5"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75375A86" w14:textId="19805CD6" w:rsidR="00D53388" w:rsidRPr="00CD4B7C" w:rsidRDefault="00ED4805" w:rsidP="000C6F72">
            <w:pPr>
              <w:pStyle w:val="BodyText"/>
              <w:rPr>
                <w:color w:val="auto"/>
              </w:rPr>
            </w:pPr>
            <w:r w:rsidRPr="00CD4B7C">
              <w:rPr>
                <w:color w:val="auto"/>
              </w:rPr>
              <w:t>Aluminium</w:t>
            </w:r>
          </w:p>
        </w:tc>
        <w:tc>
          <w:tcPr>
            <w:tcW w:w="1738" w:type="pct"/>
          </w:tcPr>
          <w:p w14:paraId="6798AFF4" w14:textId="31B8C2B9" w:rsidR="00D53388" w:rsidRPr="00CD4B7C" w:rsidRDefault="008415C4"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 xml:space="preserve">Exported to Asian countries for </w:t>
            </w:r>
            <w:r w:rsidR="00A405ED" w:rsidRPr="00CD4B7C">
              <w:rPr>
                <w:color w:val="auto"/>
              </w:rPr>
              <w:t xml:space="preserve">input into a </w:t>
            </w:r>
            <w:r w:rsidRPr="00CD4B7C">
              <w:rPr>
                <w:color w:val="auto"/>
              </w:rPr>
              <w:t>range of manufactured commodities</w:t>
            </w:r>
          </w:p>
        </w:tc>
        <w:tc>
          <w:tcPr>
            <w:tcW w:w="2082" w:type="pct"/>
          </w:tcPr>
          <w:p w14:paraId="67A3056C" w14:textId="7FDB20CB" w:rsidR="00D53388" w:rsidRPr="00CD4B7C" w:rsidRDefault="008415C4"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Move</w:t>
            </w:r>
            <w:r w:rsidR="004E1E54" w:rsidRPr="00CD4B7C">
              <w:rPr>
                <w:color w:val="auto"/>
              </w:rPr>
              <w:t xml:space="preserve">d </w:t>
            </w:r>
            <w:r w:rsidRPr="00CD4B7C">
              <w:rPr>
                <w:color w:val="auto"/>
              </w:rPr>
              <w:t>from aluminium smelters to</w:t>
            </w:r>
            <w:r w:rsidR="004E1E54" w:rsidRPr="00CD4B7C">
              <w:rPr>
                <w:color w:val="auto"/>
              </w:rPr>
              <w:t xml:space="preserve"> container </w:t>
            </w:r>
            <w:r w:rsidRPr="00CD4B7C">
              <w:rPr>
                <w:color w:val="auto"/>
              </w:rPr>
              <w:t>export ports</w:t>
            </w:r>
            <w:r w:rsidR="000C2553" w:rsidRPr="00CD4B7C">
              <w:rPr>
                <w:color w:val="auto"/>
              </w:rPr>
              <w:t xml:space="preserve"> by rail</w:t>
            </w:r>
          </w:p>
        </w:tc>
      </w:tr>
      <w:tr w:rsidR="00CD4B7C" w:rsidRPr="00CD4B7C" w14:paraId="34F1F986"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2F897D62" w14:textId="59E21F97" w:rsidR="00D53388" w:rsidRPr="00CD4B7C" w:rsidRDefault="00ED4805" w:rsidP="00ED4805">
            <w:pPr>
              <w:pStyle w:val="BodyText"/>
              <w:rPr>
                <w:color w:val="auto"/>
              </w:rPr>
            </w:pPr>
            <w:r w:rsidRPr="00CD4B7C">
              <w:rPr>
                <w:color w:val="auto"/>
              </w:rPr>
              <w:t>Coal</w:t>
            </w:r>
          </w:p>
        </w:tc>
        <w:tc>
          <w:tcPr>
            <w:tcW w:w="1738" w:type="pct"/>
          </w:tcPr>
          <w:p w14:paraId="35894C22" w14:textId="5772DA9E" w:rsidR="00D53388" w:rsidRPr="00CD4B7C" w:rsidRDefault="008415C4" w:rsidP="00ED4805">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 xml:space="preserve">Mostly exported to Asian countries for electricity generation and steel manufacturing purposes. Some coal destined for domestic electricity generators (power stations) and </w:t>
            </w:r>
            <w:r w:rsidR="000C2553" w:rsidRPr="00CD4B7C">
              <w:rPr>
                <w:color w:val="auto"/>
              </w:rPr>
              <w:t xml:space="preserve">domestic </w:t>
            </w:r>
            <w:r w:rsidRPr="00CD4B7C">
              <w:rPr>
                <w:color w:val="auto"/>
              </w:rPr>
              <w:t>steel</w:t>
            </w:r>
            <w:r w:rsidR="000C2553" w:rsidRPr="00CD4B7C">
              <w:rPr>
                <w:color w:val="auto"/>
              </w:rPr>
              <w:t xml:space="preserve"> manufacturing</w:t>
            </w:r>
          </w:p>
        </w:tc>
        <w:tc>
          <w:tcPr>
            <w:tcW w:w="2082" w:type="pct"/>
          </w:tcPr>
          <w:p w14:paraId="6F3A91A2" w14:textId="232FB5F2" w:rsidR="00D53388" w:rsidRPr="00CD4B7C" w:rsidRDefault="000C2553" w:rsidP="00ED4805">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Move</w:t>
            </w:r>
            <w:r w:rsidR="004E1E54" w:rsidRPr="00CD4B7C">
              <w:rPr>
                <w:color w:val="auto"/>
              </w:rPr>
              <w:t xml:space="preserve">d </w:t>
            </w:r>
            <w:r w:rsidRPr="00CD4B7C">
              <w:rPr>
                <w:color w:val="auto"/>
              </w:rPr>
              <w:t>mostly by rail from mines to export ports, domestic power stations and domestic steel manufacturers</w:t>
            </w:r>
          </w:p>
        </w:tc>
      </w:tr>
      <w:tr w:rsidR="00CD4B7C" w:rsidRPr="00CD4B7C" w14:paraId="6FAB9A10"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41FE6551" w14:textId="3F086659" w:rsidR="00D53388" w:rsidRPr="00CD4B7C" w:rsidRDefault="00ED4805" w:rsidP="000C6F72">
            <w:pPr>
              <w:pStyle w:val="BodyText"/>
              <w:rPr>
                <w:color w:val="auto"/>
              </w:rPr>
            </w:pPr>
            <w:r w:rsidRPr="00CD4B7C">
              <w:rPr>
                <w:color w:val="auto"/>
              </w:rPr>
              <w:t>Construction materials</w:t>
            </w:r>
          </w:p>
        </w:tc>
        <w:tc>
          <w:tcPr>
            <w:tcW w:w="1738" w:type="pct"/>
          </w:tcPr>
          <w:p w14:paraId="5781B3E2" w14:textId="387FC8E2" w:rsidR="00D53388" w:rsidRPr="00CD4B7C" w:rsidRDefault="00755234"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 xml:space="preserve">Aggregates and sand, bitumen, cement, concrete, bricks, plasterboard and fly ash used </w:t>
            </w:r>
            <w:r w:rsidR="000C2553" w:rsidRPr="00CD4B7C">
              <w:rPr>
                <w:color w:val="auto"/>
              </w:rPr>
              <w:t xml:space="preserve">to construct </w:t>
            </w:r>
            <w:r w:rsidRPr="00CD4B7C">
              <w:rPr>
                <w:color w:val="auto"/>
              </w:rPr>
              <w:t xml:space="preserve">in </w:t>
            </w:r>
            <w:r w:rsidR="000C2553" w:rsidRPr="00CD4B7C">
              <w:rPr>
                <w:color w:val="auto"/>
              </w:rPr>
              <w:t>domestic dwelling (houses, apartments), non-dwellings (office, retail, industrial, other) and infrastructure (road and rail)</w:t>
            </w:r>
            <w:r w:rsidRPr="00CD4B7C">
              <w:rPr>
                <w:color w:val="auto"/>
              </w:rPr>
              <w:t xml:space="preserve"> construction</w:t>
            </w:r>
          </w:p>
        </w:tc>
        <w:tc>
          <w:tcPr>
            <w:tcW w:w="2082" w:type="pct"/>
          </w:tcPr>
          <w:p w14:paraId="25DECEAD" w14:textId="31B90642" w:rsidR="00D53388" w:rsidRPr="00CD4B7C" w:rsidRDefault="004E1E54"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 xml:space="preserve">Moved </w:t>
            </w:r>
            <w:r w:rsidR="000C2553" w:rsidRPr="00CD4B7C">
              <w:rPr>
                <w:color w:val="auto"/>
              </w:rPr>
              <w:t>mostly by road from quarries, concrete batching plants</w:t>
            </w:r>
            <w:r w:rsidR="00755234" w:rsidRPr="00CD4B7C">
              <w:rPr>
                <w:color w:val="auto"/>
              </w:rPr>
              <w:t xml:space="preserve"> </w:t>
            </w:r>
            <w:r w:rsidR="000C2553" w:rsidRPr="00CD4B7C">
              <w:rPr>
                <w:color w:val="auto"/>
              </w:rPr>
              <w:t>and various other types of manufacturing facilities to distribution centres and construction sites</w:t>
            </w:r>
          </w:p>
        </w:tc>
      </w:tr>
      <w:tr w:rsidR="00CD4B7C" w:rsidRPr="00CD4B7C" w14:paraId="047946D5"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3ECB36CF" w14:textId="3AEACF43" w:rsidR="00ED4805" w:rsidRPr="00CD4B7C" w:rsidRDefault="00ED4805" w:rsidP="000C6F72">
            <w:pPr>
              <w:pStyle w:val="BodyText"/>
              <w:rPr>
                <w:color w:val="auto"/>
              </w:rPr>
            </w:pPr>
            <w:r w:rsidRPr="00CD4B7C">
              <w:rPr>
                <w:color w:val="auto"/>
              </w:rPr>
              <w:t>Consumer products</w:t>
            </w:r>
          </w:p>
        </w:tc>
        <w:tc>
          <w:tcPr>
            <w:tcW w:w="1738" w:type="pct"/>
          </w:tcPr>
          <w:p w14:paraId="15026E94" w14:textId="69DA9C5E" w:rsidR="00ED4805" w:rsidRPr="00CD4B7C" w:rsidRDefault="00FE24CA" w:rsidP="000C6F72">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 xml:space="preserve">Domestically produced food </w:t>
            </w:r>
            <w:r w:rsidR="000C2553" w:rsidRPr="00CD4B7C">
              <w:rPr>
                <w:color w:val="auto"/>
              </w:rPr>
              <w:t xml:space="preserve">and non-food items for </w:t>
            </w:r>
            <w:r w:rsidR="00A405ED" w:rsidRPr="00CD4B7C">
              <w:rPr>
                <w:color w:val="auto"/>
              </w:rPr>
              <w:t xml:space="preserve">domestic </w:t>
            </w:r>
            <w:r w:rsidR="000C2553" w:rsidRPr="00CD4B7C">
              <w:rPr>
                <w:color w:val="auto"/>
              </w:rPr>
              <w:t>household consumption</w:t>
            </w:r>
          </w:p>
        </w:tc>
        <w:tc>
          <w:tcPr>
            <w:tcW w:w="2082" w:type="pct"/>
          </w:tcPr>
          <w:p w14:paraId="1958F344" w14:textId="2AD0A777" w:rsidR="00ED4805" w:rsidRPr="00CD4B7C" w:rsidRDefault="000C2553" w:rsidP="000C6F72">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Moved by road from distribution centres to supermarkets and bulky good retailer stores</w:t>
            </w:r>
          </w:p>
        </w:tc>
      </w:tr>
      <w:tr w:rsidR="00CD4B7C" w:rsidRPr="00CD4B7C" w14:paraId="62368069"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3B9F05AA" w14:textId="47BC3918" w:rsidR="00ED4805" w:rsidRPr="00CD4B7C" w:rsidRDefault="00ED4805" w:rsidP="000C6F72">
            <w:pPr>
              <w:pStyle w:val="BodyText"/>
              <w:rPr>
                <w:color w:val="auto"/>
              </w:rPr>
            </w:pPr>
            <w:r w:rsidRPr="00CD4B7C">
              <w:rPr>
                <w:color w:val="auto"/>
              </w:rPr>
              <w:t>Containers (</w:t>
            </w:r>
            <w:r w:rsidR="000C2553" w:rsidRPr="00CD4B7C">
              <w:rPr>
                <w:color w:val="auto"/>
              </w:rPr>
              <w:t xml:space="preserve">import and </w:t>
            </w:r>
            <w:r w:rsidRPr="00CD4B7C">
              <w:rPr>
                <w:color w:val="auto"/>
              </w:rPr>
              <w:t>export)</w:t>
            </w:r>
          </w:p>
        </w:tc>
        <w:tc>
          <w:tcPr>
            <w:tcW w:w="1738" w:type="pct"/>
          </w:tcPr>
          <w:p w14:paraId="3C0D75FF" w14:textId="453DB8CC" w:rsidR="00FE24CA" w:rsidRPr="00CD4B7C" w:rsidRDefault="000C2553"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Most import containers are inputs into domestic manufacturing (machinery and equipment imports) or</w:t>
            </w:r>
            <w:r w:rsidR="00FE24CA" w:rsidRPr="00CD4B7C">
              <w:rPr>
                <w:color w:val="auto"/>
              </w:rPr>
              <w:t xml:space="preserve"> consumer products (whitegoods, TVs, computers, furniture) for household consumption</w:t>
            </w:r>
          </w:p>
          <w:p w14:paraId="5EA90BA5" w14:textId="02ADB205" w:rsidR="00ED4805" w:rsidRPr="00CD4B7C" w:rsidRDefault="00FE24CA"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lastRenderedPageBreak/>
              <w:t>Most export containers are agricultural or manufactured good</w:t>
            </w:r>
            <w:r w:rsidR="00A405ED" w:rsidRPr="00CD4B7C">
              <w:rPr>
                <w:color w:val="auto"/>
              </w:rPr>
              <w:t>s</w:t>
            </w:r>
            <w:r w:rsidRPr="00CD4B7C">
              <w:rPr>
                <w:color w:val="auto"/>
              </w:rPr>
              <w:t>.</w:t>
            </w:r>
          </w:p>
        </w:tc>
        <w:tc>
          <w:tcPr>
            <w:tcW w:w="2082" w:type="pct"/>
          </w:tcPr>
          <w:p w14:paraId="65078D8E" w14:textId="71AB7204" w:rsidR="00ED4805" w:rsidRPr="00CD4B7C" w:rsidRDefault="00FE24CA"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lastRenderedPageBreak/>
              <w:t>Import containers from container port are moved mainly by road to manufacturers and distribution centres for unpacking</w:t>
            </w:r>
          </w:p>
          <w:p w14:paraId="16309E52" w14:textId="59570C1D" w:rsidR="00FE24CA" w:rsidRPr="00CD4B7C" w:rsidRDefault="00FE24CA"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Export containers are moved by a mix of road and rail to container</w:t>
            </w:r>
            <w:r w:rsidR="004E1E54" w:rsidRPr="00CD4B7C">
              <w:rPr>
                <w:color w:val="auto"/>
              </w:rPr>
              <w:t xml:space="preserve"> export </w:t>
            </w:r>
            <w:r w:rsidRPr="00CD4B7C">
              <w:rPr>
                <w:color w:val="auto"/>
              </w:rPr>
              <w:t>port</w:t>
            </w:r>
          </w:p>
        </w:tc>
      </w:tr>
      <w:tr w:rsidR="00CD4B7C" w:rsidRPr="00CD4B7C" w14:paraId="2D92F7C1"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5FE92711" w14:textId="16A9FC84" w:rsidR="00ED4805" w:rsidRPr="00CD4B7C" w:rsidRDefault="00ED4805" w:rsidP="000C6F72">
            <w:pPr>
              <w:pStyle w:val="BodyText"/>
              <w:rPr>
                <w:color w:val="auto"/>
              </w:rPr>
            </w:pPr>
            <w:r w:rsidRPr="00CD4B7C">
              <w:rPr>
                <w:color w:val="auto"/>
              </w:rPr>
              <w:t>Cotton</w:t>
            </w:r>
          </w:p>
        </w:tc>
        <w:tc>
          <w:tcPr>
            <w:tcW w:w="1738" w:type="pct"/>
          </w:tcPr>
          <w:p w14:paraId="0E8C98BC" w14:textId="23A10791" w:rsidR="00ED4805" w:rsidRPr="00CD4B7C" w:rsidRDefault="00006291" w:rsidP="000C6F72">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 xml:space="preserve">Cotton lint exported </w:t>
            </w:r>
            <w:r w:rsidR="00FE24CA" w:rsidRPr="00CD4B7C">
              <w:rPr>
                <w:color w:val="auto"/>
              </w:rPr>
              <w:t>for textile manufacturing purposes</w:t>
            </w:r>
          </w:p>
        </w:tc>
        <w:tc>
          <w:tcPr>
            <w:tcW w:w="2082" w:type="pct"/>
          </w:tcPr>
          <w:p w14:paraId="42CC2ACE" w14:textId="5451B4EE" w:rsidR="00ED4805" w:rsidRPr="00CD4B7C" w:rsidRDefault="00FE24CA" w:rsidP="000C6F72">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Moved by road from farms to cotton gins. Moved mostly by rail from cotton gins to container</w:t>
            </w:r>
            <w:r w:rsidR="004E1E54" w:rsidRPr="00CD4B7C">
              <w:rPr>
                <w:color w:val="auto"/>
              </w:rPr>
              <w:t xml:space="preserve"> export </w:t>
            </w:r>
            <w:r w:rsidRPr="00CD4B7C">
              <w:rPr>
                <w:color w:val="auto"/>
              </w:rPr>
              <w:t>port</w:t>
            </w:r>
          </w:p>
        </w:tc>
      </w:tr>
      <w:tr w:rsidR="00CD4B7C" w:rsidRPr="00CD4B7C" w14:paraId="1E9DAACB"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3AC31C3E" w14:textId="3C7AC9E3" w:rsidR="00ED4805" w:rsidRPr="00CD4B7C" w:rsidRDefault="00ED4805" w:rsidP="000C6F72">
            <w:pPr>
              <w:pStyle w:val="BodyText"/>
              <w:rPr>
                <w:color w:val="auto"/>
              </w:rPr>
            </w:pPr>
            <w:r w:rsidRPr="00CD4B7C">
              <w:rPr>
                <w:color w:val="auto"/>
              </w:rPr>
              <w:t>Dairy</w:t>
            </w:r>
          </w:p>
        </w:tc>
        <w:tc>
          <w:tcPr>
            <w:tcW w:w="1738" w:type="pct"/>
          </w:tcPr>
          <w:p w14:paraId="6A1F5A07" w14:textId="2119AB44" w:rsidR="00ED4805" w:rsidRPr="00CD4B7C" w:rsidRDefault="00A405ED"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Milk, cheese and other dairy products mostly for domestic household consumption</w:t>
            </w:r>
          </w:p>
        </w:tc>
        <w:tc>
          <w:tcPr>
            <w:tcW w:w="2082" w:type="pct"/>
          </w:tcPr>
          <w:p w14:paraId="4FCDA0C6" w14:textId="2CF3F1BA" w:rsidR="00ED4805" w:rsidRPr="00CD4B7C" w:rsidRDefault="00A405ED"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Moved by road from farms to processor</w:t>
            </w:r>
            <w:r w:rsidR="00683477" w:rsidRPr="00CD4B7C">
              <w:rPr>
                <w:color w:val="auto"/>
              </w:rPr>
              <w:t xml:space="preserve"> facilities, distribution centre and supermarket locations</w:t>
            </w:r>
          </w:p>
        </w:tc>
      </w:tr>
      <w:tr w:rsidR="00CD4B7C" w:rsidRPr="00CD4B7C" w14:paraId="5BF34540"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21ADDF93" w14:textId="44ECEF8B" w:rsidR="00ED4805" w:rsidRPr="00CD4B7C" w:rsidRDefault="00ED4805" w:rsidP="000C6F72">
            <w:pPr>
              <w:pStyle w:val="BodyText"/>
              <w:rPr>
                <w:color w:val="auto"/>
              </w:rPr>
            </w:pPr>
            <w:r w:rsidRPr="00CD4B7C">
              <w:rPr>
                <w:color w:val="auto"/>
              </w:rPr>
              <w:t>Forestry</w:t>
            </w:r>
          </w:p>
        </w:tc>
        <w:tc>
          <w:tcPr>
            <w:tcW w:w="1738" w:type="pct"/>
          </w:tcPr>
          <w:p w14:paraId="2666DC3A" w14:textId="4920B54C" w:rsidR="00ED4805" w:rsidRPr="00CD4B7C" w:rsidRDefault="00683477" w:rsidP="000C6F72">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Logs, timber and particleboard primarily for domestic construction purposes, paper is exported</w:t>
            </w:r>
          </w:p>
        </w:tc>
        <w:tc>
          <w:tcPr>
            <w:tcW w:w="2082" w:type="pct"/>
          </w:tcPr>
          <w:p w14:paraId="531B5E08" w14:textId="155FA169" w:rsidR="00ED4805" w:rsidRPr="00CD4B7C" w:rsidRDefault="00683477" w:rsidP="000C6F72">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Moved mostly by road from forests to sawmills, distribution centres, retailers and container</w:t>
            </w:r>
            <w:r w:rsidR="004E1E54" w:rsidRPr="00CD4B7C">
              <w:rPr>
                <w:color w:val="auto"/>
              </w:rPr>
              <w:t xml:space="preserve"> export </w:t>
            </w:r>
            <w:r w:rsidRPr="00CD4B7C">
              <w:rPr>
                <w:color w:val="auto"/>
              </w:rPr>
              <w:t>ports</w:t>
            </w:r>
          </w:p>
        </w:tc>
      </w:tr>
      <w:tr w:rsidR="00CD4B7C" w:rsidRPr="00CD4B7C" w14:paraId="0FDB61C7"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1EB49B1E" w14:textId="133C1524" w:rsidR="00ED4805" w:rsidRPr="00CD4B7C" w:rsidRDefault="00ED4805" w:rsidP="000C6F72">
            <w:pPr>
              <w:pStyle w:val="BodyText"/>
              <w:rPr>
                <w:color w:val="auto"/>
              </w:rPr>
            </w:pPr>
            <w:r w:rsidRPr="00CD4B7C">
              <w:rPr>
                <w:color w:val="auto"/>
              </w:rPr>
              <w:t>Fuel</w:t>
            </w:r>
          </w:p>
        </w:tc>
        <w:tc>
          <w:tcPr>
            <w:tcW w:w="1738" w:type="pct"/>
          </w:tcPr>
          <w:p w14:paraId="11AF92D6" w14:textId="2D32311E" w:rsidR="00ED4805" w:rsidRPr="00CD4B7C" w:rsidRDefault="00683477"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Petrol and diesel imported for household and industry uses (manufacturing, construction, freight transport, agricultural and mining users). AvGas imported for aviation purposes</w:t>
            </w:r>
          </w:p>
        </w:tc>
        <w:tc>
          <w:tcPr>
            <w:tcW w:w="2082" w:type="pct"/>
          </w:tcPr>
          <w:p w14:paraId="134663F9" w14:textId="0C3067E2" w:rsidR="00ED4805" w:rsidRPr="00CD4B7C" w:rsidRDefault="00683477"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Petrol and diesel moved via pipelines connecting import terminals to large distribution depots, moved by fuel tankers from large distribution depots to</w:t>
            </w:r>
            <w:r w:rsidR="004E1E54" w:rsidRPr="00CD4B7C">
              <w:rPr>
                <w:color w:val="auto"/>
              </w:rPr>
              <w:t xml:space="preserve"> large number of </w:t>
            </w:r>
            <w:r w:rsidRPr="00CD4B7C">
              <w:rPr>
                <w:color w:val="auto"/>
              </w:rPr>
              <w:t>petrol</w:t>
            </w:r>
            <w:r w:rsidR="004E1E54" w:rsidRPr="00CD4B7C">
              <w:rPr>
                <w:color w:val="auto"/>
              </w:rPr>
              <w:t xml:space="preserve"> service </w:t>
            </w:r>
            <w:r w:rsidRPr="00CD4B7C">
              <w:rPr>
                <w:color w:val="auto"/>
              </w:rPr>
              <w:t>stations</w:t>
            </w:r>
          </w:p>
          <w:p w14:paraId="17A0D36B" w14:textId="7B348F53" w:rsidR="00683477" w:rsidRPr="00CD4B7C" w:rsidRDefault="00683477"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 xml:space="preserve">AvGas moved via pipelines connecting import terminals and </w:t>
            </w:r>
            <w:r w:rsidR="004E1E54" w:rsidRPr="00CD4B7C">
              <w:rPr>
                <w:color w:val="auto"/>
              </w:rPr>
              <w:t>Kingsford Smith Airport</w:t>
            </w:r>
            <w:r w:rsidRPr="00CD4B7C">
              <w:rPr>
                <w:color w:val="auto"/>
              </w:rPr>
              <w:t xml:space="preserve">, with some </w:t>
            </w:r>
            <w:r w:rsidR="004E1E54" w:rsidRPr="00CD4B7C">
              <w:rPr>
                <w:color w:val="auto"/>
              </w:rPr>
              <w:t>temporary road-based distribution to new Western Sydney Airport</w:t>
            </w:r>
          </w:p>
        </w:tc>
      </w:tr>
      <w:tr w:rsidR="00CD4B7C" w:rsidRPr="00CD4B7C" w14:paraId="3BD78E9C"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6E42C1B8" w14:textId="27029F02" w:rsidR="00ED4805" w:rsidRPr="00CD4B7C" w:rsidRDefault="00ED4805" w:rsidP="000C6F72">
            <w:pPr>
              <w:pStyle w:val="BodyText"/>
              <w:rPr>
                <w:color w:val="auto"/>
              </w:rPr>
            </w:pPr>
            <w:r w:rsidRPr="00CD4B7C">
              <w:rPr>
                <w:color w:val="auto"/>
              </w:rPr>
              <w:t>Grain</w:t>
            </w:r>
          </w:p>
        </w:tc>
        <w:tc>
          <w:tcPr>
            <w:tcW w:w="1738" w:type="pct"/>
          </w:tcPr>
          <w:p w14:paraId="120E930D" w14:textId="4F8BF8FA" w:rsidR="00ED4805" w:rsidRPr="00CD4B7C" w:rsidRDefault="004E1E54" w:rsidP="000C6F72">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Wheat, barley, oats, pulses and sorghum used in domestic flour milling, alcohol manufacturing, food and starch products manufacturing, livestock feedlot and export purposes</w:t>
            </w:r>
          </w:p>
        </w:tc>
        <w:tc>
          <w:tcPr>
            <w:tcW w:w="2082" w:type="pct"/>
          </w:tcPr>
          <w:p w14:paraId="542C2014" w14:textId="051BA452" w:rsidR="00ED4805" w:rsidRPr="00CD4B7C" w:rsidRDefault="004E1E54" w:rsidP="000C6F72">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Moved by road from farms to silos initially. Moved by road and rail to domestic millers, manufacturers and feedlots, as well as bulk and container export ports</w:t>
            </w:r>
          </w:p>
        </w:tc>
      </w:tr>
      <w:tr w:rsidR="00CD4B7C" w:rsidRPr="00CD4B7C" w14:paraId="54297DA4"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5786CD5D" w14:textId="27898F6C" w:rsidR="00ED4805" w:rsidRPr="00CD4B7C" w:rsidRDefault="00ED4805" w:rsidP="000C6F72">
            <w:pPr>
              <w:pStyle w:val="BodyText"/>
              <w:rPr>
                <w:color w:val="auto"/>
              </w:rPr>
            </w:pPr>
            <w:r w:rsidRPr="00CD4B7C">
              <w:rPr>
                <w:color w:val="auto"/>
              </w:rPr>
              <w:t>Grapes and wine</w:t>
            </w:r>
          </w:p>
        </w:tc>
        <w:tc>
          <w:tcPr>
            <w:tcW w:w="1738" w:type="pct"/>
          </w:tcPr>
          <w:p w14:paraId="698148B1" w14:textId="5F9E605A" w:rsidR="00ED4805" w:rsidRPr="00CD4B7C" w:rsidRDefault="004E1E54"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Grapes are crushed at processor facilities to make wine</w:t>
            </w:r>
          </w:p>
        </w:tc>
        <w:tc>
          <w:tcPr>
            <w:tcW w:w="2082" w:type="pct"/>
          </w:tcPr>
          <w:p w14:paraId="483FD420" w14:textId="75DF953E" w:rsidR="00ED4805" w:rsidRPr="00CD4B7C" w:rsidRDefault="004E1E54"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Grapes moved by road from farms to wine processor facilities</w:t>
            </w:r>
            <w:r w:rsidR="00755234" w:rsidRPr="00CD4B7C">
              <w:rPr>
                <w:color w:val="auto"/>
              </w:rPr>
              <w:t>.</w:t>
            </w:r>
          </w:p>
          <w:p w14:paraId="1FCE9B53" w14:textId="4255BCDB" w:rsidR="00755234" w:rsidRPr="00CD4B7C" w:rsidRDefault="00755234"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Wine mostly moved by rail from wine processor facilities to export container port</w:t>
            </w:r>
          </w:p>
        </w:tc>
      </w:tr>
      <w:tr w:rsidR="00CD4B7C" w:rsidRPr="00CD4B7C" w14:paraId="0E455663"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56C5E926" w14:textId="340FE8E1" w:rsidR="00ED4805" w:rsidRPr="00CD4B7C" w:rsidRDefault="00ED4805" w:rsidP="000C6F72">
            <w:pPr>
              <w:pStyle w:val="BodyText"/>
              <w:rPr>
                <w:color w:val="auto"/>
              </w:rPr>
            </w:pPr>
            <w:r w:rsidRPr="00CD4B7C">
              <w:rPr>
                <w:color w:val="auto"/>
              </w:rPr>
              <w:t>Horticulture</w:t>
            </w:r>
          </w:p>
        </w:tc>
        <w:tc>
          <w:tcPr>
            <w:tcW w:w="1738" w:type="pct"/>
          </w:tcPr>
          <w:p w14:paraId="018E3837" w14:textId="11330EC5" w:rsidR="00ED4805" w:rsidRPr="00CD4B7C" w:rsidRDefault="00755234" w:rsidP="000C6F72">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Fresh fruit and vegetables mostly for domestic household consumption, with some export</w:t>
            </w:r>
          </w:p>
        </w:tc>
        <w:tc>
          <w:tcPr>
            <w:tcW w:w="2082" w:type="pct"/>
          </w:tcPr>
          <w:p w14:paraId="480F4E8D" w14:textId="492F8B0C" w:rsidR="00ED4805" w:rsidRPr="00CD4B7C" w:rsidRDefault="00755234" w:rsidP="000C6F72">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Moved by road from farms to central markets, distribution centres and supermarkets</w:t>
            </w:r>
          </w:p>
        </w:tc>
      </w:tr>
      <w:tr w:rsidR="00CD4B7C" w:rsidRPr="00CD4B7C" w14:paraId="1BB87756"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59D38149" w14:textId="6630C843" w:rsidR="00ED4805" w:rsidRPr="00CD4B7C" w:rsidRDefault="00ED4805" w:rsidP="000C6F72">
            <w:pPr>
              <w:pStyle w:val="BodyText"/>
              <w:rPr>
                <w:color w:val="auto"/>
              </w:rPr>
            </w:pPr>
            <w:r w:rsidRPr="00CD4B7C">
              <w:rPr>
                <w:color w:val="auto"/>
              </w:rPr>
              <w:t>Livestock</w:t>
            </w:r>
          </w:p>
        </w:tc>
        <w:tc>
          <w:tcPr>
            <w:tcW w:w="1738" w:type="pct"/>
          </w:tcPr>
          <w:p w14:paraId="2213B599" w14:textId="17ADF8E2" w:rsidR="00ED4805" w:rsidRPr="00CD4B7C" w:rsidRDefault="00755234"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Cattle, sheep, pigs and chicken used in meat production</w:t>
            </w:r>
          </w:p>
        </w:tc>
        <w:tc>
          <w:tcPr>
            <w:tcW w:w="2082" w:type="pct"/>
          </w:tcPr>
          <w:p w14:paraId="692A6D85" w14:textId="4EB26A76" w:rsidR="00ED4805" w:rsidRPr="00CD4B7C" w:rsidRDefault="00755234" w:rsidP="000C6F72">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Moved by road from farms to feedlots, saleyards and abattoirs</w:t>
            </w:r>
          </w:p>
        </w:tc>
      </w:tr>
      <w:tr w:rsidR="00CD4B7C" w:rsidRPr="00CD4B7C" w14:paraId="13EBBD94"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vMerge w:val="restart"/>
          </w:tcPr>
          <w:p w14:paraId="0EC6E6ED" w14:textId="35F21FCF" w:rsidR="007D671F" w:rsidRPr="00CD4B7C" w:rsidRDefault="007D671F" w:rsidP="00755234">
            <w:pPr>
              <w:pStyle w:val="BodyText"/>
              <w:rPr>
                <w:color w:val="auto"/>
              </w:rPr>
            </w:pPr>
            <w:r w:rsidRPr="00CD4B7C">
              <w:rPr>
                <w:color w:val="auto"/>
              </w:rPr>
              <w:t>Manufactures</w:t>
            </w:r>
          </w:p>
        </w:tc>
        <w:tc>
          <w:tcPr>
            <w:tcW w:w="1738" w:type="pct"/>
          </w:tcPr>
          <w:p w14:paraId="7F95CCEA" w14:textId="51612A12" w:rsidR="007D671F" w:rsidRPr="00CD4B7C" w:rsidRDefault="007D671F"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rFonts w:ascii="Calibri" w:hAnsi="Calibri"/>
                <w:color w:val="auto"/>
              </w:rPr>
              <w:t>ManufacturesC1 (Food products)</w:t>
            </w:r>
          </w:p>
        </w:tc>
        <w:tc>
          <w:tcPr>
            <w:tcW w:w="2082" w:type="pct"/>
            <w:vMerge w:val="restart"/>
          </w:tcPr>
          <w:p w14:paraId="30E31D67" w14:textId="06F1985A" w:rsidR="007D671F" w:rsidRPr="00CD4B7C" w:rsidRDefault="007D671F"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Mostly moved by road from manufacturing facilities to distribution centres and downstream manufacturing facilities</w:t>
            </w:r>
          </w:p>
        </w:tc>
      </w:tr>
      <w:tr w:rsidR="00CD4B7C" w:rsidRPr="00CD4B7C" w14:paraId="394B52BD"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vMerge/>
          </w:tcPr>
          <w:p w14:paraId="55D4A357" w14:textId="59366B99" w:rsidR="007D671F" w:rsidRPr="00CD4B7C" w:rsidRDefault="007D671F" w:rsidP="00755234">
            <w:pPr>
              <w:pStyle w:val="BodyText"/>
              <w:rPr>
                <w:color w:val="auto"/>
              </w:rPr>
            </w:pPr>
          </w:p>
        </w:tc>
        <w:tc>
          <w:tcPr>
            <w:tcW w:w="1738" w:type="pct"/>
          </w:tcPr>
          <w:p w14:paraId="598B32DF" w14:textId="399F14CC" w:rsidR="007D671F" w:rsidRPr="00CD4B7C" w:rsidRDefault="007D671F" w:rsidP="00755234">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rFonts w:ascii="Calibri" w:hAnsi="Calibri"/>
                <w:color w:val="auto"/>
              </w:rPr>
              <w:t>ManufacturesC2 (Beverage and Tobacco Product)</w:t>
            </w:r>
          </w:p>
        </w:tc>
        <w:tc>
          <w:tcPr>
            <w:tcW w:w="2082" w:type="pct"/>
            <w:vMerge/>
          </w:tcPr>
          <w:p w14:paraId="4C2B6EED" w14:textId="740E39D2" w:rsidR="007D671F" w:rsidRPr="00CD4B7C" w:rsidRDefault="007D671F" w:rsidP="00755234">
            <w:pPr>
              <w:pStyle w:val="BodyText"/>
              <w:cnfStyle w:val="000000100000" w:firstRow="0" w:lastRow="0" w:firstColumn="0" w:lastColumn="0" w:oddVBand="0" w:evenVBand="0" w:oddHBand="1" w:evenHBand="0" w:firstRowFirstColumn="0" w:firstRowLastColumn="0" w:lastRowFirstColumn="0" w:lastRowLastColumn="0"/>
              <w:rPr>
                <w:color w:val="auto"/>
              </w:rPr>
            </w:pPr>
          </w:p>
        </w:tc>
      </w:tr>
      <w:tr w:rsidR="00CD4B7C" w:rsidRPr="00CD4B7C" w14:paraId="030A5154"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vMerge/>
          </w:tcPr>
          <w:p w14:paraId="418BEFBB" w14:textId="17CAA646" w:rsidR="007D671F" w:rsidRPr="00CD4B7C" w:rsidRDefault="007D671F" w:rsidP="00755234">
            <w:pPr>
              <w:pStyle w:val="BodyText"/>
              <w:rPr>
                <w:color w:val="auto"/>
              </w:rPr>
            </w:pPr>
          </w:p>
        </w:tc>
        <w:tc>
          <w:tcPr>
            <w:tcW w:w="1738" w:type="pct"/>
          </w:tcPr>
          <w:p w14:paraId="3078BBB1" w14:textId="1DD2D8A4" w:rsidR="007D671F" w:rsidRPr="00CD4B7C" w:rsidRDefault="007D671F"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rFonts w:ascii="Calibri" w:hAnsi="Calibri"/>
                <w:color w:val="auto"/>
              </w:rPr>
              <w:t>ManufacturesC3 (Textile, Leather, Clothing and Footwear)</w:t>
            </w:r>
          </w:p>
        </w:tc>
        <w:tc>
          <w:tcPr>
            <w:tcW w:w="2082" w:type="pct"/>
            <w:vMerge/>
          </w:tcPr>
          <w:p w14:paraId="22C53837" w14:textId="7E9E7888" w:rsidR="007D671F" w:rsidRPr="00CD4B7C" w:rsidRDefault="007D671F" w:rsidP="00755234">
            <w:pPr>
              <w:pStyle w:val="BodyText"/>
              <w:cnfStyle w:val="000000010000" w:firstRow="0" w:lastRow="0" w:firstColumn="0" w:lastColumn="0" w:oddVBand="0" w:evenVBand="0" w:oddHBand="0" w:evenHBand="1" w:firstRowFirstColumn="0" w:firstRowLastColumn="0" w:lastRowFirstColumn="0" w:lastRowLastColumn="0"/>
              <w:rPr>
                <w:color w:val="auto"/>
              </w:rPr>
            </w:pPr>
          </w:p>
        </w:tc>
      </w:tr>
      <w:tr w:rsidR="00CD4B7C" w:rsidRPr="00CD4B7C" w14:paraId="5BD32842"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vMerge/>
          </w:tcPr>
          <w:p w14:paraId="3DDEB199" w14:textId="54598F2A" w:rsidR="007D671F" w:rsidRPr="00CD4B7C" w:rsidRDefault="007D671F" w:rsidP="00755234">
            <w:pPr>
              <w:pStyle w:val="BodyText"/>
              <w:rPr>
                <w:color w:val="auto"/>
              </w:rPr>
            </w:pPr>
          </w:p>
        </w:tc>
        <w:tc>
          <w:tcPr>
            <w:tcW w:w="1738" w:type="pct"/>
          </w:tcPr>
          <w:p w14:paraId="23500943" w14:textId="0AD2ADF7" w:rsidR="007D671F" w:rsidRPr="00CD4B7C" w:rsidRDefault="007D671F" w:rsidP="00755234">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rFonts w:ascii="Calibri" w:hAnsi="Calibri"/>
                <w:color w:val="auto"/>
              </w:rPr>
              <w:t>ManufacturesC4 (Wood Product)</w:t>
            </w:r>
          </w:p>
        </w:tc>
        <w:tc>
          <w:tcPr>
            <w:tcW w:w="2082" w:type="pct"/>
            <w:vMerge/>
          </w:tcPr>
          <w:p w14:paraId="50800F2E" w14:textId="23217C18" w:rsidR="007D671F" w:rsidRPr="00CD4B7C" w:rsidRDefault="007D671F" w:rsidP="00755234">
            <w:pPr>
              <w:pStyle w:val="BodyText"/>
              <w:cnfStyle w:val="000000100000" w:firstRow="0" w:lastRow="0" w:firstColumn="0" w:lastColumn="0" w:oddVBand="0" w:evenVBand="0" w:oddHBand="1" w:evenHBand="0" w:firstRowFirstColumn="0" w:firstRowLastColumn="0" w:lastRowFirstColumn="0" w:lastRowLastColumn="0"/>
              <w:rPr>
                <w:color w:val="auto"/>
              </w:rPr>
            </w:pPr>
          </w:p>
        </w:tc>
      </w:tr>
      <w:tr w:rsidR="00CD4B7C" w:rsidRPr="00CD4B7C" w14:paraId="0AE72C0F"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vMerge/>
          </w:tcPr>
          <w:p w14:paraId="4EBC4FEE" w14:textId="0AD61FE5" w:rsidR="007D671F" w:rsidRPr="00CD4B7C" w:rsidRDefault="007D671F" w:rsidP="00755234">
            <w:pPr>
              <w:pStyle w:val="BodyText"/>
              <w:rPr>
                <w:color w:val="auto"/>
              </w:rPr>
            </w:pPr>
          </w:p>
        </w:tc>
        <w:tc>
          <w:tcPr>
            <w:tcW w:w="1738" w:type="pct"/>
          </w:tcPr>
          <w:p w14:paraId="29534324" w14:textId="70645214" w:rsidR="007D671F" w:rsidRPr="00CD4B7C" w:rsidRDefault="007D671F"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rFonts w:ascii="Calibri" w:hAnsi="Calibri"/>
                <w:color w:val="auto"/>
              </w:rPr>
              <w:t>ManufacturesC5 (Pulp, Paper and Converted Paper Product)</w:t>
            </w:r>
          </w:p>
        </w:tc>
        <w:tc>
          <w:tcPr>
            <w:tcW w:w="2082" w:type="pct"/>
            <w:vMerge/>
          </w:tcPr>
          <w:p w14:paraId="7A438235" w14:textId="4340B0D7" w:rsidR="007D671F" w:rsidRPr="00CD4B7C" w:rsidRDefault="007D671F" w:rsidP="00755234">
            <w:pPr>
              <w:pStyle w:val="BodyText"/>
              <w:cnfStyle w:val="000000010000" w:firstRow="0" w:lastRow="0" w:firstColumn="0" w:lastColumn="0" w:oddVBand="0" w:evenVBand="0" w:oddHBand="0" w:evenHBand="1" w:firstRowFirstColumn="0" w:firstRowLastColumn="0" w:lastRowFirstColumn="0" w:lastRowLastColumn="0"/>
              <w:rPr>
                <w:color w:val="auto"/>
              </w:rPr>
            </w:pPr>
          </w:p>
        </w:tc>
      </w:tr>
      <w:tr w:rsidR="00CD4B7C" w:rsidRPr="00CD4B7C" w14:paraId="6062008B"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vMerge/>
          </w:tcPr>
          <w:p w14:paraId="62FDE75F" w14:textId="53923B4E" w:rsidR="007D671F" w:rsidRPr="00CD4B7C" w:rsidRDefault="007D671F" w:rsidP="00755234">
            <w:pPr>
              <w:pStyle w:val="BodyText"/>
              <w:rPr>
                <w:color w:val="auto"/>
              </w:rPr>
            </w:pPr>
          </w:p>
        </w:tc>
        <w:tc>
          <w:tcPr>
            <w:tcW w:w="1738" w:type="pct"/>
          </w:tcPr>
          <w:p w14:paraId="41A20AF1" w14:textId="0A9A42B4" w:rsidR="007D671F" w:rsidRPr="00CD4B7C" w:rsidRDefault="007D671F" w:rsidP="00755234">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rFonts w:ascii="Calibri" w:hAnsi="Calibri"/>
                <w:color w:val="auto"/>
              </w:rPr>
              <w:t>ManufacturesC6 (Printing (including the Reproduction of Recorded Media)</w:t>
            </w:r>
          </w:p>
        </w:tc>
        <w:tc>
          <w:tcPr>
            <w:tcW w:w="2082" w:type="pct"/>
            <w:vMerge/>
          </w:tcPr>
          <w:p w14:paraId="008A9AD1" w14:textId="65DDB647" w:rsidR="007D671F" w:rsidRPr="00CD4B7C" w:rsidRDefault="007D671F" w:rsidP="00755234">
            <w:pPr>
              <w:pStyle w:val="BodyText"/>
              <w:cnfStyle w:val="000000100000" w:firstRow="0" w:lastRow="0" w:firstColumn="0" w:lastColumn="0" w:oddVBand="0" w:evenVBand="0" w:oddHBand="1" w:evenHBand="0" w:firstRowFirstColumn="0" w:firstRowLastColumn="0" w:lastRowFirstColumn="0" w:lastRowLastColumn="0"/>
              <w:rPr>
                <w:color w:val="auto"/>
              </w:rPr>
            </w:pPr>
          </w:p>
        </w:tc>
      </w:tr>
      <w:tr w:rsidR="00CD4B7C" w:rsidRPr="00CD4B7C" w14:paraId="13F5A728"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vMerge/>
          </w:tcPr>
          <w:p w14:paraId="2ABBAC51" w14:textId="2BF9F222" w:rsidR="007D671F" w:rsidRPr="00CD4B7C" w:rsidRDefault="007D671F" w:rsidP="00755234">
            <w:pPr>
              <w:pStyle w:val="BodyText"/>
              <w:rPr>
                <w:color w:val="auto"/>
              </w:rPr>
            </w:pPr>
          </w:p>
        </w:tc>
        <w:tc>
          <w:tcPr>
            <w:tcW w:w="1738" w:type="pct"/>
          </w:tcPr>
          <w:p w14:paraId="7CCE59DE" w14:textId="7AA7DDFE" w:rsidR="007D671F" w:rsidRPr="00CD4B7C" w:rsidRDefault="007D671F"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rFonts w:ascii="Calibri" w:hAnsi="Calibri"/>
                <w:color w:val="auto"/>
              </w:rPr>
              <w:t>ManufacturesC7 (Petroleum and Coal Product)</w:t>
            </w:r>
          </w:p>
        </w:tc>
        <w:tc>
          <w:tcPr>
            <w:tcW w:w="2082" w:type="pct"/>
            <w:vMerge/>
          </w:tcPr>
          <w:p w14:paraId="135A8D91" w14:textId="7133A7B3" w:rsidR="007D671F" w:rsidRPr="00CD4B7C" w:rsidRDefault="007D671F" w:rsidP="00755234">
            <w:pPr>
              <w:pStyle w:val="BodyText"/>
              <w:cnfStyle w:val="000000010000" w:firstRow="0" w:lastRow="0" w:firstColumn="0" w:lastColumn="0" w:oddVBand="0" w:evenVBand="0" w:oddHBand="0" w:evenHBand="1" w:firstRowFirstColumn="0" w:firstRowLastColumn="0" w:lastRowFirstColumn="0" w:lastRowLastColumn="0"/>
              <w:rPr>
                <w:color w:val="auto"/>
              </w:rPr>
            </w:pPr>
          </w:p>
        </w:tc>
      </w:tr>
      <w:tr w:rsidR="00CD4B7C" w:rsidRPr="00CD4B7C" w14:paraId="1B042686"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vMerge/>
          </w:tcPr>
          <w:p w14:paraId="3839B3FC" w14:textId="77777777" w:rsidR="007D671F" w:rsidRPr="00CD4B7C" w:rsidRDefault="007D671F" w:rsidP="00755234">
            <w:pPr>
              <w:pStyle w:val="BodyText"/>
              <w:rPr>
                <w:color w:val="auto"/>
              </w:rPr>
            </w:pPr>
          </w:p>
        </w:tc>
        <w:tc>
          <w:tcPr>
            <w:tcW w:w="1738" w:type="pct"/>
          </w:tcPr>
          <w:p w14:paraId="18BA976D" w14:textId="302E024A" w:rsidR="007D671F" w:rsidRPr="00CD4B7C" w:rsidRDefault="007D671F" w:rsidP="00755234">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rFonts w:ascii="Calibri" w:hAnsi="Calibri"/>
                <w:color w:val="auto"/>
              </w:rPr>
              <w:t>ManufacturesC8 (Basic Chemical and Chemical Product)</w:t>
            </w:r>
          </w:p>
        </w:tc>
        <w:tc>
          <w:tcPr>
            <w:tcW w:w="2082" w:type="pct"/>
            <w:vMerge/>
          </w:tcPr>
          <w:p w14:paraId="494FF203" w14:textId="1B31F73D" w:rsidR="007D671F" w:rsidRPr="00CD4B7C" w:rsidRDefault="007D671F" w:rsidP="00755234">
            <w:pPr>
              <w:pStyle w:val="BodyText"/>
              <w:cnfStyle w:val="000000100000" w:firstRow="0" w:lastRow="0" w:firstColumn="0" w:lastColumn="0" w:oddVBand="0" w:evenVBand="0" w:oddHBand="1" w:evenHBand="0" w:firstRowFirstColumn="0" w:firstRowLastColumn="0" w:lastRowFirstColumn="0" w:lastRowLastColumn="0"/>
              <w:rPr>
                <w:color w:val="auto"/>
              </w:rPr>
            </w:pPr>
          </w:p>
        </w:tc>
      </w:tr>
      <w:tr w:rsidR="00CD4B7C" w:rsidRPr="00CD4B7C" w14:paraId="5A06AB44"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vMerge/>
          </w:tcPr>
          <w:p w14:paraId="09469675" w14:textId="1421005F" w:rsidR="007D671F" w:rsidRPr="00CD4B7C" w:rsidRDefault="007D671F" w:rsidP="00755234">
            <w:pPr>
              <w:pStyle w:val="BodyText"/>
              <w:rPr>
                <w:color w:val="auto"/>
              </w:rPr>
            </w:pPr>
          </w:p>
        </w:tc>
        <w:tc>
          <w:tcPr>
            <w:tcW w:w="1738" w:type="pct"/>
          </w:tcPr>
          <w:p w14:paraId="7406CDAF" w14:textId="73DD9AF4" w:rsidR="007D671F" w:rsidRPr="00CD4B7C" w:rsidRDefault="007D671F"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rFonts w:ascii="Calibri" w:hAnsi="Calibri"/>
                <w:color w:val="auto"/>
              </w:rPr>
              <w:t>ManufacturesC9 (Polymer Product and Rubber Product)</w:t>
            </w:r>
          </w:p>
        </w:tc>
        <w:tc>
          <w:tcPr>
            <w:tcW w:w="2082" w:type="pct"/>
            <w:vMerge/>
          </w:tcPr>
          <w:p w14:paraId="440DA1D8" w14:textId="3EF3B4F4" w:rsidR="007D671F" w:rsidRPr="00CD4B7C" w:rsidRDefault="007D671F" w:rsidP="00755234">
            <w:pPr>
              <w:pStyle w:val="BodyText"/>
              <w:cnfStyle w:val="000000010000" w:firstRow="0" w:lastRow="0" w:firstColumn="0" w:lastColumn="0" w:oddVBand="0" w:evenVBand="0" w:oddHBand="0" w:evenHBand="1" w:firstRowFirstColumn="0" w:firstRowLastColumn="0" w:lastRowFirstColumn="0" w:lastRowLastColumn="0"/>
              <w:rPr>
                <w:color w:val="auto"/>
              </w:rPr>
            </w:pPr>
          </w:p>
        </w:tc>
      </w:tr>
      <w:tr w:rsidR="00CD4B7C" w:rsidRPr="00CD4B7C" w14:paraId="13F061C0"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vMerge/>
          </w:tcPr>
          <w:p w14:paraId="4CE53AB3" w14:textId="5117FE86" w:rsidR="007D671F" w:rsidRPr="00CD4B7C" w:rsidRDefault="007D671F" w:rsidP="00755234">
            <w:pPr>
              <w:pStyle w:val="BodyText"/>
              <w:rPr>
                <w:color w:val="auto"/>
              </w:rPr>
            </w:pPr>
          </w:p>
        </w:tc>
        <w:tc>
          <w:tcPr>
            <w:tcW w:w="1738" w:type="pct"/>
          </w:tcPr>
          <w:p w14:paraId="1109CD8E" w14:textId="71B2E4CE" w:rsidR="007D671F" w:rsidRPr="00CD4B7C" w:rsidRDefault="007D671F" w:rsidP="00755234">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rFonts w:ascii="Calibri" w:hAnsi="Calibri"/>
                <w:color w:val="auto"/>
              </w:rPr>
              <w:t>ManufacturesC10 (Non-Metallic Mineral Product)</w:t>
            </w:r>
          </w:p>
        </w:tc>
        <w:tc>
          <w:tcPr>
            <w:tcW w:w="2082" w:type="pct"/>
            <w:vMerge/>
          </w:tcPr>
          <w:p w14:paraId="401F82F9" w14:textId="0E69086F" w:rsidR="007D671F" w:rsidRPr="00CD4B7C" w:rsidRDefault="007D671F" w:rsidP="00755234">
            <w:pPr>
              <w:pStyle w:val="BodyText"/>
              <w:cnfStyle w:val="000000100000" w:firstRow="0" w:lastRow="0" w:firstColumn="0" w:lastColumn="0" w:oddVBand="0" w:evenVBand="0" w:oddHBand="1" w:evenHBand="0" w:firstRowFirstColumn="0" w:firstRowLastColumn="0" w:lastRowFirstColumn="0" w:lastRowLastColumn="0"/>
              <w:rPr>
                <w:color w:val="auto"/>
              </w:rPr>
            </w:pPr>
          </w:p>
        </w:tc>
      </w:tr>
      <w:tr w:rsidR="00CD4B7C" w:rsidRPr="00CD4B7C" w14:paraId="0E142A34"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vMerge/>
          </w:tcPr>
          <w:p w14:paraId="07E2CDAF" w14:textId="208C357F" w:rsidR="007D671F" w:rsidRPr="00CD4B7C" w:rsidRDefault="007D671F" w:rsidP="00755234">
            <w:pPr>
              <w:pStyle w:val="BodyText"/>
              <w:rPr>
                <w:color w:val="auto"/>
              </w:rPr>
            </w:pPr>
          </w:p>
        </w:tc>
        <w:tc>
          <w:tcPr>
            <w:tcW w:w="1738" w:type="pct"/>
          </w:tcPr>
          <w:p w14:paraId="22F95844" w14:textId="536EDAA0" w:rsidR="007D671F" w:rsidRPr="00CD4B7C" w:rsidRDefault="007D671F"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rFonts w:ascii="Calibri" w:hAnsi="Calibri"/>
                <w:color w:val="auto"/>
              </w:rPr>
              <w:t>ManufacturesC11 (Primary Metal and Metal Product)</w:t>
            </w:r>
          </w:p>
        </w:tc>
        <w:tc>
          <w:tcPr>
            <w:tcW w:w="2082" w:type="pct"/>
            <w:vMerge/>
          </w:tcPr>
          <w:p w14:paraId="52BBEA31" w14:textId="51E1E451" w:rsidR="007D671F" w:rsidRPr="00CD4B7C" w:rsidRDefault="007D671F" w:rsidP="00755234">
            <w:pPr>
              <w:pStyle w:val="BodyText"/>
              <w:cnfStyle w:val="000000010000" w:firstRow="0" w:lastRow="0" w:firstColumn="0" w:lastColumn="0" w:oddVBand="0" w:evenVBand="0" w:oddHBand="0" w:evenHBand="1" w:firstRowFirstColumn="0" w:firstRowLastColumn="0" w:lastRowFirstColumn="0" w:lastRowLastColumn="0"/>
              <w:rPr>
                <w:color w:val="auto"/>
              </w:rPr>
            </w:pPr>
          </w:p>
        </w:tc>
      </w:tr>
      <w:tr w:rsidR="00CD4B7C" w:rsidRPr="00CD4B7C" w14:paraId="22EF7319"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vMerge/>
          </w:tcPr>
          <w:p w14:paraId="36A3BC8C" w14:textId="3DED024F" w:rsidR="007D671F" w:rsidRPr="00CD4B7C" w:rsidRDefault="007D671F" w:rsidP="00755234">
            <w:pPr>
              <w:pStyle w:val="BodyText"/>
              <w:rPr>
                <w:color w:val="auto"/>
              </w:rPr>
            </w:pPr>
          </w:p>
        </w:tc>
        <w:tc>
          <w:tcPr>
            <w:tcW w:w="1738" w:type="pct"/>
          </w:tcPr>
          <w:p w14:paraId="42850E6B" w14:textId="7631A7DA" w:rsidR="007D671F" w:rsidRPr="00CD4B7C" w:rsidRDefault="007D671F" w:rsidP="00755234">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rFonts w:ascii="Calibri" w:hAnsi="Calibri"/>
                <w:color w:val="auto"/>
              </w:rPr>
              <w:t>ManufacturesC12 (Fabricated Metal Product)</w:t>
            </w:r>
          </w:p>
        </w:tc>
        <w:tc>
          <w:tcPr>
            <w:tcW w:w="2082" w:type="pct"/>
            <w:vMerge/>
          </w:tcPr>
          <w:p w14:paraId="0586E442" w14:textId="7C356A72" w:rsidR="007D671F" w:rsidRPr="00CD4B7C" w:rsidRDefault="007D671F" w:rsidP="00755234">
            <w:pPr>
              <w:pStyle w:val="BodyText"/>
              <w:cnfStyle w:val="000000100000" w:firstRow="0" w:lastRow="0" w:firstColumn="0" w:lastColumn="0" w:oddVBand="0" w:evenVBand="0" w:oddHBand="1" w:evenHBand="0" w:firstRowFirstColumn="0" w:firstRowLastColumn="0" w:lastRowFirstColumn="0" w:lastRowLastColumn="0"/>
              <w:rPr>
                <w:color w:val="auto"/>
              </w:rPr>
            </w:pPr>
          </w:p>
        </w:tc>
      </w:tr>
      <w:tr w:rsidR="00CD4B7C" w:rsidRPr="00CD4B7C" w14:paraId="269C840A"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vMerge/>
          </w:tcPr>
          <w:p w14:paraId="571F459F" w14:textId="487E5AE1" w:rsidR="007D671F" w:rsidRPr="00CD4B7C" w:rsidRDefault="007D671F" w:rsidP="00755234">
            <w:pPr>
              <w:pStyle w:val="BodyText"/>
              <w:rPr>
                <w:color w:val="auto"/>
              </w:rPr>
            </w:pPr>
          </w:p>
        </w:tc>
        <w:tc>
          <w:tcPr>
            <w:tcW w:w="1738" w:type="pct"/>
          </w:tcPr>
          <w:p w14:paraId="65BEBFCC" w14:textId="23BEF526" w:rsidR="007D671F" w:rsidRPr="00CD4B7C" w:rsidRDefault="007D671F"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rFonts w:ascii="Calibri" w:hAnsi="Calibri"/>
                <w:color w:val="auto"/>
              </w:rPr>
              <w:t>ManufacturesC13 (Transport Equipment)</w:t>
            </w:r>
          </w:p>
        </w:tc>
        <w:tc>
          <w:tcPr>
            <w:tcW w:w="2082" w:type="pct"/>
            <w:vMerge/>
          </w:tcPr>
          <w:p w14:paraId="61D0E98C" w14:textId="644FE935" w:rsidR="007D671F" w:rsidRPr="00CD4B7C" w:rsidRDefault="007D671F" w:rsidP="00755234">
            <w:pPr>
              <w:pStyle w:val="BodyText"/>
              <w:cnfStyle w:val="000000010000" w:firstRow="0" w:lastRow="0" w:firstColumn="0" w:lastColumn="0" w:oddVBand="0" w:evenVBand="0" w:oddHBand="0" w:evenHBand="1" w:firstRowFirstColumn="0" w:firstRowLastColumn="0" w:lastRowFirstColumn="0" w:lastRowLastColumn="0"/>
              <w:rPr>
                <w:color w:val="auto"/>
              </w:rPr>
            </w:pPr>
          </w:p>
        </w:tc>
      </w:tr>
      <w:tr w:rsidR="00CD4B7C" w:rsidRPr="00CD4B7C" w14:paraId="7E49E084"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vMerge/>
          </w:tcPr>
          <w:p w14:paraId="687E664E" w14:textId="42249FAD" w:rsidR="007D671F" w:rsidRPr="00CD4B7C" w:rsidRDefault="007D671F" w:rsidP="00755234">
            <w:pPr>
              <w:pStyle w:val="BodyText"/>
              <w:rPr>
                <w:color w:val="auto"/>
              </w:rPr>
            </w:pPr>
          </w:p>
        </w:tc>
        <w:tc>
          <w:tcPr>
            <w:tcW w:w="1738" w:type="pct"/>
          </w:tcPr>
          <w:p w14:paraId="5427B82B" w14:textId="5C2305BA" w:rsidR="007D671F" w:rsidRPr="00CD4B7C" w:rsidRDefault="007D671F" w:rsidP="00755234">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rFonts w:ascii="Calibri" w:hAnsi="Calibri"/>
                <w:color w:val="auto"/>
              </w:rPr>
              <w:t>ManufacturesC14 (Machinery and Equipment)</w:t>
            </w:r>
          </w:p>
        </w:tc>
        <w:tc>
          <w:tcPr>
            <w:tcW w:w="2082" w:type="pct"/>
            <w:vMerge/>
          </w:tcPr>
          <w:p w14:paraId="12D130CD" w14:textId="3423BE14" w:rsidR="007D671F" w:rsidRPr="00CD4B7C" w:rsidRDefault="007D671F" w:rsidP="00755234">
            <w:pPr>
              <w:pStyle w:val="BodyText"/>
              <w:cnfStyle w:val="000000100000" w:firstRow="0" w:lastRow="0" w:firstColumn="0" w:lastColumn="0" w:oddVBand="0" w:evenVBand="0" w:oddHBand="1" w:evenHBand="0" w:firstRowFirstColumn="0" w:firstRowLastColumn="0" w:lastRowFirstColumn="0" w:lastRowLastColumn="0"/>
              <w:rPr>
                <w:color w:val="auto"/>
              </w:rPr>
            </w:pPr>
          </w:p>
        </w:tc>
      </w:tr>
      <w:tr w:rsidR="00CD4B7C" w:rsidRPr="00CD4B7C" w14:paraId="28C48562"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vMerge/>
          </w:tcPr>
          <w:p w14:paraId="695DB481" w14:textId="120E7755" w:rsidR="007D671F" w:rsidRPr="00CD4B7C" w:rsidRDefault="007D671F" w:rsidP="00755234">
            <w:pPr>
              <w:pStyle w:val="BodyText"/>
              <w:rPr>
                <w:color w:val="auto"/>
              </w:rPr>
            </w:pPr>
          </w:p>
        </w:tc>
        <w:tc>
          <w:tcPr>
            <w:tcW w:w="1738" w:type="pct"/>
          </w:tcPr>
          <w:p w14:paraId="4AE2A3B6" w14:textId="04A1A6D6" w:rsidR="007D671F" w:rsidRPr="00CD4B7C" w:rsidRDefault="007D671F"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rFonts w:ascii="Calibri" w:hAnsi="Calibri"/>
                <w:color w:val="auto"/>
              </w:rPr>
              <w:t>ManufacturesC15 (Furniture and Other)</w:t>
            </w:r>
          </w:p>
        </w:tc>
        <w:tc>
          <w:tcPr>
            <w:tcW w:w="2082" w:type="pct"/>
            <w:vMerge/>
          </w:tcPr>
          <w:p w14:paraId="73AF57B4" w14:textId="57077545" w:rsidR="007D671F" w:rsidRPr="00CD4B7C" w:rsidRDefault="007D671F" w:rsidP="00755234">
            <w:pPr>
              <w:pStyle w:val="BodyText"/>
              <w:cnfStyle w:val="000000010000" w:firstRow="0" w:lastRow="0" w:firstColumn="0" w:lastColumn="0" w:oddVBand="0" w:evenVBand="0" w:oddHBand="0" w:evenHBand="1" w:firstRowFirstColumn="0" w:firstRowLastColumn="0" w:lastRowFirstColumn="0" w:lastRowLastColumn="0"/>
              <w:rPr>
                <w:color w:val="auto"/>
              </w:rPr>
            </w:pPr>
          </w:p>
        </w:tc>
      </w:tr>
      <w:tr w:rsidR="00CD4B7C" w:rsidRPr="00CD4B7C" w14:paraId="1868C6E6"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26DF7B64" w14:textId="24487CE4" w:rsidR="00755234" w:rsidRPr="00CD4B7C" w:rsidRDefault="00755234" w:rsidP="00755234">
            <w:pPr>
              <w:pStyle w:val="BodyText"/>
              <w:rPr>
                <w:color w:val="auto"/>
              </w:rPr>
            </w:pPr>
            <w:r w:rsidRPr="00CD4B7C">
              <w:rPr>
                <w:color w:val="auto"/>
              </w:rPr>
              <w:t>Meat</w:t>
            </w:r>
          </w:p>
        </w:tc>
        <w:tc>
          <w:tcPr>
            <w:tcW w:w="1738" w:type="pct"/>
          </w:tcPr>
          <w:p w14:paraId="668D78A7" w14:textId="7E8D627B" w:rsidR="00755234" w:rsidRPr="00CD4B7C" w:rsidRDefault="00891F33" w:rsidP="00755234">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Beef, sheep, port and chicken meat for domestic household consumption and export purposes</w:t>
            </w:r>
          </w:p>
        </w:tc>
        <w:tc>
          <w:tcPr>
            <w:tcW w:w="2082" w:type="pct"/>
          </w:tcPr>
          <w:p w14:paraId="179BEF2D" w14:textId="77777777" w:rsidR="00755234" w:rsidRPr="00CD4B7C" w:rsidRDefault="00891F33" w:rsidP="00755234">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Moved mostly by road from abattoirs to distribution centres and supermarkets for domestic household consumption</w:t>
            </w:r>
          </w:p>
          <w:p w14:paraId="5C5A89E4" w14:textId="2095CC41" w:rsidR="00891F33" w:rsidRPr="00CD4B7C" w:rsidRDefault="00891F33" w:rsidP="00755234">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Moved by road and rail to container export ports</w:t>
            </w:r>
          </w:p>
        </w:tc>
      </w:tr>
      <w:tr w:rsidR="00CD4B7C" w:rsidRPr="00CD4B7C" w14:paraId="0BAD82AA"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662ACCBD" w14:textId="0BEBF9F8" w:rsidR="00755234" w:rsidRPr="00CD4B7C" w:rsidRDefault="00755234" w:rsidP="00755234">
            <w:pPr>
              <w:pStyle w:val="BodyText"/>
              <w:rPr>
                <w:color w:val="auto"/>
              </w:rPr>
            </w:pPr>
            <w:r w:rsidRPr="00CD4B7C">
              <w:rPr>
                <w:color w:val="auto"/>
              </w:rPr>
              <w:t>Motor vehicles</w:t>
            </w:r>
          </w:p>
        </w:tc>
        <w:tc>
          <w:tcPr>
            <w:tcW w:w="1738" w:type="pct"/>
          </w:tcPr>
          <w:p w14:paraId="12FD4FD8" w14:textId="268F67DC" w:rsidR="00755234" w:rsidRPr="00CD4B7C" w:rsidRDefault="00891F33"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Passenger cars, SUVs, Light Commercial Vehicles, trucks and buses for household, business and public transport uses</w:t>
            </w:r>
          </w:p>
        </w:tc>
        <w:tc>
          <w:tcPr>
            <w:tcW w:w="2082" w:type="pct"/>
          </w:tcPr>
          <w:p w14:paraId="1AECDB80" w14:textId="08EC6816" w:rsidR="00755234" w:rsidRPr="00CD4B7C" w:rsidRDefault="00891F33"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Moved by road from import terminal to large storage yards, distributed thereafter to</w:t>
            </w:r>
            <w:r w:rsidR="00924531" w:rsidRPr="00CD4B7C">
              <w:rPr>
                <w:color w:val="auto"/>
              </w:rPr>
              <w:t xml:space="preserve"> </w:t>
            </w:r>
            <w:r w:rsidRPr="00CD4B7C">
              <w:rPr>
                <w:color w:val="auto"/>
              </w:rPr>
              <w:t>sales dealerships</w:t>
            </w:r>
          </w:p>
        </w:tc>
      </w:tr>
      <w:tr w:rsidR="00CD4B7C" w:rsidRPr="00CD4B7C" w14:paraId="19E8ABE3"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1A7A59F9" w14:textId="76E148FA" w:rsidR="00755234" w:rsidRPr="00CD4B7C" w:rsidRDefault="00755234" w:rsidP="00755234">
            <w:pPr>
              <w:pStyle w:val="BodyText"/>
              <w:rPr>
                <w:color w:val="auto"/>
              </w:rPr>
            </w:pPr>
            <w:r w:rsidRPr="00CD4B7C">
              <w:rPr>
                <w:color w:val="auto"/>
              </w:rPr>
              <w:t>Non coal minerals</w:t>
            </w:r>
          </w:p>
        </w:tc>
        <w:tc>
          <w:tcPr>
            <w:tcW w:w="1738" w:type="pct"/>
          </w:tcPr>
          <w:p w14:paraId="62DA715C" w14:textId="52D30EB2" w:rsidR="00755234" w:rsidRPr="00CD4B7C" w:rsidRDefault="00891F33" w:rsidP="00755234">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Zinc, lead, rutile, copper, mineral sands, gold and silver concentrates mostly</w:t>
            </w:r>
            <w:r w:rsidR="00924531" w:rsidRPr="00CD4B7C">
              <w:rPr>
                <w:color w:val="auto"/>
              </w:rPr>
              <w:t xml:space="preserve"> for </w:t>
            </w:r>
            <w:r w:rsidRPr="00CD4B7C">
              <w:rPr>
                <w:color w:val="auto"/>
              </w:rPr>
              <w:t>export</w:t>
            </w:r>
            <w:r w:rsidR="00924531" w:rsidRPr="00CD4B7C">
              <w:rPr>
                <w:color w:val="auto"/>
              </w:rPr>
              <w:t xml:space="preserve"> purposes</w:t>
            </w:r>
          </w:p>
        </w:tc>
        <w:tc>
          <w:tcPr>
            <w:tcW w:w="2082" w:type="pct"/>
          </w:tcPr>
          <w:p w14:paraId="713BB055" w14:textId="71D22951" w:rsidR="00755234" w:rsidRPr="00CD4B7C" w:rsidRDefault="00924531" w:rsidP="00755234">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Moved by road and rail from mine sites to bulk export ports</w:t>
            </w:r>
          </w:p>
        </w:tc>
      </w:tr>
      <w:tr w:rsidR="00CD4B7C" w:rsidRPr="00CD4B7C" w14:paraId="234BEA25"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0E16D273" w14:textId="3BB98D44" w:rsidR="00755234" w:rsidRPr="00CD4B7C" w:rsidRDefault="00755234" w:rsidP="00755234">
            <w:pPr>
              <w:pStyle w:val="BodyText"/>
              <w:rPr>
                <w:color w:val="auto"/>
              </w:rPr>
            </w:pPr>
            <w:r w:rsidRPr="00CD4B7C">
              <w:rPr>
                <w:color w:val="auto"/>
              </w:rPr>
              <w:t>Oilseeds</w:t>
            </w:r>
          </w:p>
        </w:tc>
        <w:tc>
          <w:tcPr>
            <w:tcW w:w="1738" w:type="pct"/>
          </w:tcPr>
          <w:p w14:paraId="1C9434FC" w14:textId="7B9FA232" w:rsidR="00755234" w:rsidRPr="00CD4B7C" w:rsidRDefault="00006291"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Canola seed and cotton seed used to manufacture edible oil and livestock meals, export</w:t>
            </w:r>
          </w:p>
        </w:tc>
        <w:tc>
          <w:tcPr>
            <w:tcW w:w="2082" w:type="pct"/>
          </w:tcPr>
          <w:p w14:paraId="3715A535" w14:textId="77777777" w:rsidR="00755234" w:rsidRPr="00CD4B7C" w:rsidRDefault="00006291"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Seed is mostly moved by road from farms to manufacturers</w:t>
            </w:r>
          </w:p>
          <w:p w14:paraId="7CC16BA7" w14:textId="6507D720" w:rsidR="00006291" w:rsidRPr="00CD4B7C" w:rsidRDefault="00006291"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Seed is mostly railed to export bulk and container ports</w:t>
            </w:r>
          </w:p>
        </w:tc>
      </w:tr>
      <w:tr w:rsidR="00CD4B7C" w:rsidRPr="00CD4B7C" w14:paraId="07F7A6DE" w14:textId="77777777" w:rsidTr="007D67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32624650" w14:textId="586D39A7" w:rsidR="00755234" w:rsidRPr="00CD4B7C" w:rsidRDefault="00755234" w:rsidP="00755234">
            <w:pPr>
              <w:pStyle w:val="BodyText"/>
              <w:rPr>
                <w:color w:val="auto"/>
              </w:rPr>
            </w:pPr>
            <w:r w:rsidRPr="00CD4B7C">
              <w:rPr>
                <w:color w:val="auto"/>
              </w:rPr>
              <w:t>Steel</w:t>
            </w:r>
          </w:p>
        </w:tc>
        <w:tc>
          <w:tcPr>
            <w:tcW w:w="1738" w:type="pct"/>
          </w:tcPr>
          <w:p w14:paraId="7F303FBA" w14:textId="4958BED0" w:rsidR="00755234" w:rsidRPr="00CD4B7C" w:rsidRDefault="00006291" w:rsidP="00755234">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Mostly used in domestic construction (dwellings, non-dwelling and infrastructure) and mining</w:t>
            </w:r>
          </w:p>
        </w:tc>
        <w:tc>
          <w:tcPr>
            <w:tcW w:w="2082" w:type="pct"/>
          </w:tcPr>
          <w:p w14:paraId="7909CC83" w14:textId="36DE7F41" w:rsidR="00755234" w:rsidRPr="00CD4B7C" w:rsidRDefault="00006291" w:rsidP="00755234">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color w:val="auto"/>
              </w:rPr>
              <w:t>Moved by road and rail from steel manufacturing facilities to distribution centres and construction sites</w:t>
            </w:r>
          </w:p>
        </w:tc>
      </w:tr>
      <w:tr w:rsidR="00CD4B7C" w:rsidRPr="00CD4B7C" w14:paraId="0CDDCFB9" w14:textId="77777777" w:rsidTr="007D67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42C94E11" w14:textId="71498E3C" w:rsidR="00755234" w:rsidRPr="00CD4B7C" w:rsidRDefault="00755234" w:rsidP="00755234">
            <w:pPr>
              <w:pStyle w:val="BodyText"/>
              <w:rPr>
                <w:color w:val="auto"/>
              </w:rPr>
            </w:pPr>
            <w:r w:rsidRPr="00CD4B7C">
              <w:rPr>
                <w:color w:val="auto"/>
              </w:rPr>
              <w:lastRenderedPageBreak/>
              <w:t>Waste</w:t>
            </w:r>
          </w:p>
        </w:tc>
        <w:tc>
          <w:tcPr>
            <w:tcW w:w="1738" w:type="pct"/>
          </w:tcPr>
          <w:p w14:paraId="3FC4BD97" w14:textId="2F9A2ABF" w:rsidR="00755234" w:rsidRPr="00CD4B7C" w:rsidRDefault="00006291"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Municipal Solid Waste (MSW) generated by households, Commercial and Industrial (C&amp;I) waste generated by commercial businesses, Construction and Demolition (C&amp;D) waste generated by the construction sector</w:t>
            </w:r>
          </w:p>
        </w:tc>
        <w:tc>
          <w:tcPr>
            <w:tcW w:w="2082" w:type="pct"/>
          </w:tcPr>
          <w:p w14:paraId="51B48BBE" w14:textId="77777777" w:rsidR="00755234" w:rsidRPr="00CD4B7C" w:rsidRDefault="00006291"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Moved by road from transfer stations to recycling facilities,</w:t>
            </w:r>
            <w:r w:rsidR="003F2265" w:rsidRPr="00CD4B7C">
              <w:rPr>
                <w:color w:val="auto"/>
              </w:rPr>
              <w:t xml:space="preserve"> composting facilities, </w:t>
            </w:r>
            <w:r w:rsidRPr="00CD4B7C">
              <w:rPr>
                <w:color w:val="auto"/>
              </w:rPr>
              <w:t>landfill</w:t>
            </w:r>
            <w:r w:rsidR="003F2265" w:rsidRPr="00CD4B7C">
              <w:rPr>
                <w:color w:val="auto"/>
              </w:rPr>
              <w:t xml:space="preserve"> and terminals</w:t>
            </w:r>
          </w:p>
          <w:p w14:paraId="79AA1468" w14:textId="5E01CA7B" w:rsidR="003F2265" w:rsidRPr="00CD4B7C" w:rsidRDefault="003F2265" w:rsidP="00755234">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color w:val="auto"/>
              </w:rPr>
              <w:t>Some railed from terminals to landfill</w:t>
            </w:r>
          </w:p>
        </w:tc>
      </w:tr>
    </w:tbl>
    <w:p w14:paraId="6BA7B402" w14:textId="77777777" w:rsidR="00BE14A8" w:rsidRPr="00CD4B7C" w:rsidRDefault="00BE14A8" w:rsidP="00BE14A8">
      <w:pPr>
        <w:pStyle w:val="BodyText"/>
        <w:rPr>
          <w:color w:val="auto"/>
        </w:rPr>
      </w:pPr>
    </w:p>
    <w:p w14:paraId="04045F01" w14:textId="25900D27" w:rsidR="007C1E40" w:rsidRPr="00CD4B7C" w:rsidRDefault="007C1E40" w:rsidP="007C1E40">
      <w:pPr>
        <w:pStyle w:val="Heading2"/>
        <w:rPr>
          <w:rFonts w:ascii="Arial" w:eastAsia="Times New Roman" w:hAnsi="Arial"/>
          <w:color w:val="auto"/>
          <w:szCs w:val="28"/>
          <w:lang w:eastAsia="en-AU"/>
        </w:rPr>
      </w:pPr>
      <w:r w:rsidRPr="00CD4B7C">
        <w:rPr>
          <w:rFonts w:ascii="Arial" w:eastAsia="Times New Roman" w:hAnsi="Arial"/>
          <w:color w:val="auto"/>
          <w:szCs w:val="28"/>
          <w:lang w:eastAsia="en-AU"/>
        </w:rPr>
        <w:t>Data structure</w:t>
      </w:r>
    </w:p>
    <w:p w14:paraId="693FB92E" w14:textId="69207A39" w:rsidR="007C1E40" w:rsidRPr="00CD4B7C" w:rsidRDefault="007C1E40" w:rsidP="007C1E40">
      <w:pPr>
        <w:pStyle w:val="BodyText"/>
        <w:rPr>
          <w:color w:val="auto"/>
          <w:lang w:eastAsia="en-AU"/>
        </w:rPr>
      </w:pPr>
      <w:r w:rsidRPr="00CD4B7C">
        <w:rPr>
          <w:color w:val="auto"/>
          <w:lang w:eastAsia="en-AU"/>
        </w:rPr>
        <w:t>The table below lists the field name of each column in the SFM22 excel flat file and describes the contents and rationale of each field.</w:t>
      </w:r>
    </w:p>
    <w:tbl>
      <w:tblPr>
        <w:tblStyle w:val="ListTable3-Accent5"/>
        <w:tblW w:w="4795" w:type="pct"/>
        <w:tblLook w:val="04A0" w:firstRow="1" w:lastRow="0" w:firstColumn="1" w:lastColumn="0" w:noHBand="0" w:noVBand="1"/>
      </w:tblPr>
      <w:tblGrid>
        <w:gridCol w:w="1997"/>
        <w:gridCol w:w="7779"/>
      </w:tblGrid>
      <w:tr w:rsidR="00CD4B7C" w:rsidRPr="00CD4B7C" w14:paraId="4C002557" w14:textId="77777777" w:rsidTr="000F113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013" w:type="pct"/>
          </w:tcPr>
          <w:p w14:paraId="4CB00588" w14:textId="77777777" w:rsidR="007C1E40" w:rsidRPr="00CD4B7C" w:rsidRDefault="007C1E40" w:rsidP="000F113A">
            <w:pPr>
              <w:pStyle w:val="BodyText"/>
              <w:rPr>
                <w:color w:val="auto"/>
              </w:rPr>
            </w:pPr>
            <w:r w:rsidRPr="00CD4B7C">
              <w:rPr>
                <w:color w:val="auto"/>
              </w:rPr>
              <w:t>Field name</w:t>
            </w:r>
          </w:p>
        </w:tc>
        <w:tc>
          <w:tcPr>
            <w:tcW w:w="3987" w:type="pct"/>
          </w:tcPr>
          <w:p w14:paraId="17D11ADC" w14:textId="77777777" w:rsidR="007C1E40" w:rsidRPr="00CD4B7C" w:rsidRDefault="007C1E40" w:rsidP="000F113A">
            <w:pPr>
              <w:pStyle w:val="BodyText"/>
              <w:cnfStyle w:val="100000000000" w:firstRow="1" w:lastRow="0" w:firstColumn="0" w:lastColumn="0" w:oddVBand="0" w:evenVBand="0" w:oddHBand="0" w:evenHBand="0" w:firstRowFirstColumn="0" w:firstRowLastColumn="0" w:lastRowFirstColumn="0" w:lastRowLastColumn="0"/>
              <w:rPr>
                <w:color w:val="auto"/>
              </w:rPr>
            </w:pPr>
            <w:r w:rsidRPr="00CD4B7C">
              <w:rPr>
                <w:color w:val="auto"/>
              </w:rPr>
              <w:t>Field description</w:t>
            </w:r>
          </w:p>
        </w:tc>
      </w:tr>
      <w:tr w:rsidR="00CD4B7C" w:rsidRPr="00CD4B7C" w14:paraId="49D0B416" w14:textId="77777777" w:rsidTr="000F11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3" w:type="pct"/>
          </w:tcPr>
          <w:p w14:paraId="3CA55605" w14:textId="77777777" w:rsidR="007C1E40" w:rsidRPr="00CD4B7C" w:rsidRDefault="007C1E40" w:rsidP="000F113A">
            <w:pPr>
              <w:pStyle w:val="BodyText"/>
              <w:rPr>
                <w:color w:val="auto"/>
              </w:rPr>
            </w:pPr>
            <w:proofErr w:type="spellStart"/>
            <w:r w:rsidRPr="00CD4B7C">
              <w:rPr>
                <w:rFonts w:ascii="Calibri" w:hAnsi="Calibri" w:cs="Calibri"/>
                <w:color w:val="auto"/>
              </w:rPr>
              <w:t>ID_prime</w:t>
            </w:r>
            <w:proofErr w:type="spellEnd"/>
          </w:p>
        </w:tc>
        <w:tc>
          <w:tcPr>
            <w:tcW w:w="3987" w:type="pct"/>
          </w:tcPr>
          <w:p w14:paraId="2DE1C85F" w14:textId="77777777" w:rsidR="007C1E40" w:rsidRPr="00CD4B7C" w:rsidRDefault="007C1E40" w:rsidP="000F113A">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rFonts w:ascii="Calibri" w:hAnsi="Calibri" w:cs="Calibri"/>
                <w:color w:val="auto"/>
              </w:rPr>
              <w:t xml:space="preserve">A cumulative row count across the </w:t>
            </w:r>
            <w:proofErr w:type="spellStart"/>
            <w:r w:rsidRPr="00CD4B7C">
              <w:rPr>
                <w:rFonts w:ascii="Calibri" w:hAnsi="Calibri" w:cs="Calibri"/>
                <w:color w:val="auto"/>
              </w:rPr>
              <w:t>flatfile</w:t>
            </w:r>
            <w:proofErr w:type="spellEnd"/>
            <w:r w:rsidRPr="00CD4B7C">
              <w:rPr>
                <w:rFonts w:ascii="Calibri" w:hAnsi="Calibri" w:cs="Calibri"/>
                <w:color w:val="auto"/>
              </w:rPr>
              <w:t xml:space="preserve"> (30000 rows). It is useful in that it provides an overall guide on the total size of the file and a cross-check on the number of rows that are pasted in from the individual commodity forecast sheets.  The sum of the row entries from the individual commodity forecast sheets should equal the last row number in this column.  </w:t>
            </w:r>
          </w:p>
        </w:tc>
      </w:tr>
      <w:tr w:rsidR="00CD4B7C" w:rsidRPr="00CD4B7C" w14:paraId="344E5794" w14:textId="77777777" w:rsidTr="000F113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3" w:type="pct"/>
          </w:tcPr>
          <w:p w14:paraId="66998615" w14:textId="77777777" w:rsidR="007C1E40" w:rsidRPr="00CD4B7C" w:rsidRDefault="007C1E40" w:rsidP="000F113A">
            <w:pPr>
              <w:pStyle w:val="ListBullet2"/>
              <w:numPr>
                <w:ilvl w:val="0"/>
                <w:numId w:val="0"/>
              </w:numPr>
              <w:rPr>
                <w:color w:val="auto"/>
              </w:rPr>
            </w:pPr>
            <w:r w:rsidRPr="00CD4B7C">
              <w:rPr>
                <w:rFonts w:ascii="Calibri" w:hAnsi="Calibri" w:cs="Calibri"/>
                <w:color w:val="auto"/>
              </w:rPr>
              <w:t>Sheet</w:t>
            </w:r>
          </w:p>
        </w:tc>
        <w:tc>
          <w:tcPr>
            <w:tcW w:w="3987" w:type="pct"/>
          </w:tcPr>
          <w:p w14:paraId="2AB9C885" w14:textId="77777777" w:rsidR="007C1E40" w:rsidRPr="00CD4B7C" w:rsidRDefault="007C1E40" w:rsidP="000F113A">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rFonts w:ascii="Calibri" w:hAnsi="Calibri" w:cs="Calibri"/>
                <w:color w:val="auto"/>
              </w:rPr>
              <w:t>The name of the internal working commodity forecast sheet.</w:t>
            </w:r>
          </w:p>
        </w:tc>
      </w:tr>
      <w:tr w:rsidR="00CD4B7C" w:rsidRPr="00CD4B7C" w14:paraId="3A85E9E0" w14:textId="77777777" w:rsidTr="000F11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3" w:type="pct"/>
          </w:tcPr>
          <w:p w14:paraId="3C82AA9F" w14:textId="77777777" w:rsidR="007C1E40" w:rsidRPr="00CD4B7C" w:rsidRDefault="007C1E40" w:rsidP="000F113A">
            <w:pPr>
              <w:pStyle w:val="BodyText"/>
              <w:rPr>
                <w:color w:val="auto"/>
              </w:rPr>
            </w:pPr>
            <w:r w:rsidRPr="00CD4B7C">
              <w:rPr>
                <w:rFonts w:ascii="Calibri" w:hAnsi="Calibri" w:cs="Calibri"/>
                <w:color w:val="auto"/>
              </w:rPr>
              <w:t>Entry</w:t>
            </w:r>
          </w:p>
        </w:tc>
        <w:tc>
          <w:tcPr>
            <w:tcW w:w="3987" w:type="pct"/>
          </w:tcPr>
          <w:p w14:paraId="7BD87824" w14:textId="77777777" w:rsidR="007C1E40" w:rsidRPr="00CD4B7C" w:rsidRDefault="007C1E40" w:rsidP="000F113A">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rFonts w:ascii="Calibri" w:hAnsi="Calibri" w:cs="Calibri"/>
                <w:color w:val="auto"/>
              </w:rPr>
              <w:t>The number of row entries in each commodity forecast sheet. For example, the quarry commodity has 367 row entries, the fuel commodity has 818 row entries and so on.  It acts like a serial for a unique commodity origin-destination forecast. It is particularly useful for when a user would like to focus on forecasts for an individual commodity (i.e. filtering the highest/lowest values for a commodity, finding the main origins and destinations for a commodity).</w:t>
            </w:r>
          </w:p>
        </w:tc>
      </w:tr>
      <w:tr w:rsidR="00CD4B7C" w:rsidRPr="00CD4B7C" w14:paraId="74CE497D" w14:textId="77777777" w:rsidTr="000F113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3" w:type="pct"/>
          </w:tcPr>
          <w:p w14:paraId="3E6A0653" w14:textId="77777777" w:rsidR="007C1E40" w:rsidRPr="00CD4B7C" w:rsidRDefault="007C1E40" w:rsidP="000F113A">
            <w:pPr>
              <w:pStyle w:val="BodyText"/>
              <w:rPr>
                <w:color w:val="auto"/>
              </w:rPr>
            </w:pPr>
            <w:r w:rsidRPr="00CD4B7C">
              <w:rPr>
                <w:rFonts w:ascii="Calibri" w:hAnsi="Calibri" w:cs="Calibri"/>
                <w:color w:val="auto"/>
              </w:rPr>
              <w:t>MODE</w:t>
            </w:r>
          </w:p>
        </w:tc>
        <w:tc>
          <w:tcPr>
            <w:tcW w:w="3987" w:type="pct"/>
          </w:tcPr>
          <w:p w14:paraId="048170BA" w14:textId="77777777" w:rsidR="007C1E40" w:rsidRPr="00CD4B7C" w:rsidRDefault="007C1E40" w:rsidP="000F113A">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rFonts w:ascii="Calibri" w:hAnsi="Calibri" w:cs="Calibri"/>
                <w:color w:val="auto"/>
              </w:rPr>
              <w:t>The mode is either road or rail. A commodity is moved between an origin and destination using road transport (a truck) or rail transport (a freight train).</w:t>
            </w:r>
          </w:p>
        </w:tc>
      </w:tr>
      <w:tr w:rsidR="00CD4B7C" w:rsidRPr="00CD4B7C" w14:paraId="311CDC46" w14:textId="77777777" w:rsidTr="000F11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3" w:type="pct"/>
          </w:tcPr>
          <w:p w14:paraId="28E629E9" w14:textId="77777777" w:rsidR="007C1E40" w:rsidRPr="00CD4B7C" w:rsidRDefault="007C1E40" w:rsidP="000F113A">
            <w:pPr>
              <w:pStyle w:val="BodyText"/>
              <w:rPr>
                <w:color w:val="auto"/>
              </w:rPr>
            </w:pPr>
            <w:r w:rsidRPr="00CD4B7C">
              <w:rPr>
                <w:rFonts w:ascii="Calibri" w:hAnsi="Calibri" w:cs="Calibri"/>
                <w:color w:val="auto"/>
              </w:rPr>
              <w:t>TYPE_ORIGIN</w:t>
            </w:r>
          </w:p>
        </w:tc>
        <w:tc>
          <w:tcPr>
            <w:tcW w:w="3987" w:type="pct"/>
          </w:tcPr>
          <w:p w14:paraId="20E29FE5" w14:textId="77777777" w:rsidR="007C1E40" w:rsidRPr="00CD4B7C" w:rsidRDefault="007C1E40" w:rsidP="000F113A">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rFonts w:ascii="Calibri" w:hAnsi="Calibri" w:cs="Calibri"/>
                <w:color w:val="auto"/>
              </w:rPr>
              <w:t xml:space="preserve">The type of facility where the commodity originates. For example, a commodity can originate at a grain silo, distribution centre, manufacturer, quarry, fuel terminal, farm and so on. This provides the user with a practical real-world description of the origin point. It helps visualise what the origin-destination supply chain looks like for each commodity. </w:t>
            </w:r>
          </w:p>
        </w:tc>
      </w:tr>
      <w:tr w:rsidR="00CD4B7C" w:rsidRPr="00CD4B7C" w14:paraId="68A5E1B3" w14:textId="77777777" w:rsidTr="000F113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3" w:type="pct"/>
          </w:tcPr>
          <w:p w14:paraId="3B3B393B" w14:textId="77777777" w:rsidR="007C1E40" w:rsidRPr="00CD4B7C" w:rsidRDefault="007C1E40" w:rsidP="000F113A">
            <w:pPr>
              <w:pStyle w:val="BodyText"/>
              <w:rPr>
                <w:color w:val="auto"/>
              </w:rPr>
            </w:pPr>
            <w:r w:rsidRPr="00CD4B7C">
              <w:rPr>
                <w:rFonts w:ascii="Calibri" w:hAnsi="Calibri" w:cs="Calibri"/>
                <w:color w:val="auto"/>
              </w:rPr>
              <w:t>SA3_CODE_O</w:t>
            </w:r>
          </w:p>
        </w:tc>
        <w:tc>
          <w:tcPr>
            <w:tcW w:w="3987" w:type="pct"/>
          </w:tcPr>
          <w:p w14:paraId="6A0F5111" w14:textId="77777777" w:rsidR="007C1E40" w:rsidRPr="00CD4B7C" w:rsidRDefault="007C1E40" w:rsidP="000F113A">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rFonts w:ascii="Calibri" w:hAnsi="Calibri" w:cs="Calibri"/>
                <w:color w:val="auto"/>
              </w:rPr>
              <w:t>A commodity originates in an SA3, where SA3 (Statistical Area Level 3) is the geographic classification area used in the SFM. The SA3 origin code is a 5-digit code in NSW or interstate. The codes come directly from the Australian Bureau of Statistics' (ABS) Australian Statistical Geography Standard.</w:t>
            </w:r>
          </w:p>
        </w:tc>
      </w:tr>
      <w:tr w:rsidR="00CD4B7C" w:rsidRPr="00CD4B7C" w14:paraId="10FEE26C" w14:textId="77777777" w:rsidTr="000F11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3" w:type="pct"/>
          </w:tcPr>
          <w:p w14:paraId="3ED078C7" w14:textId="77777777" w:rsidR="007C1E40" w:rsidRPr="00CD4B7C" w:rsidRDefault="007C1E40" w:rsidP="000F113A">
            <w:pPr>
              <w:pStyle w:val="BodyText"/>
              <w:rPr>
                <w:color w:val="auto"/>
              </w:rPr>
            </w:pPr>
            <w:r w:rsidRPr="00CD4B7C">
              <w:rPr>
                <w:rFonts w:ascii="Calibri" w:hAnsi="Calibri" w:cs="Calibri"/>
                <w:color w:val="auto"/>
              </w:rPr>
              <w:t>SA3_NAME_O</w:t>
            </w:r>
          </w:p>
        </w:tc>
        <w:tc>
          <w:tcPr>
            <w:tcW w:w="3987" w:type="pct"/>
          </w:tcPr>
          <w:p w14:paraId="5EB64195" w14:textId="77777777" w:rsidR="007C1E40" w:rsidRPr="00CD4B7C" w:rsidRDefault="007C1E40" w:rsidP="000F113A">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rFonts w:ascii="Calibri" w:hAnsi="Calibri" w:cs="Calibri"/>
                <w:color w:val="auto"/>
              </w:rPr>
              <w:t>The SA3 name corresponding to the above SA3 code (SA3_CODE_O)</w:t>
            </w:r>
          </w:p>
        </w:tc>
      </w:tr>
      <w:tr w:rsidR="00CD4B7C" w:rsidRPr="00CD4B7C" w14:paraId="2C6F01E9" w14:textId="77777777" w:rsidTr="000F113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3" w:type="pct"/>
          </w:tcPr>
          <w:p w14:paraId="1D41154A" w14:textId="77777777" w:rsidR="007C1E40" w:rsidRPr="00CD4B7C" w:rsidRDefault="007C1E40" w:rsidP="000F113A">
            <w:pPr>
              <w:pStyle w:val="BodyText"/>
              <w:rPr>
                <w:color w:val="auto"/>
              </w:rPr>
            </w:pPr>
            <w:r w:rsidRPr="00CD4B7C">
              <w:rPr>
                <w:rFonts w:ascii="Calibri" w:hAnsi="Calibri" w:cs="Calibri"/>
                <w:color w:val="auto"/>
              </w:rPr>
              <w:t>TYPE_DESTINATION</w:t>
            </w:r>
          </w:p>
        </w:tc>
        <w:tc>
          <w:tcPr>
            <w:tcW w:w="3987" w:type="pct"/>
          </w:tcPr>
          <w:p w14:paraId="64DA795E" w14:textId="77777777" w:rsidR="007C1E40" w:rsidRPr="00CD4B7C" w:rsidRDefault="007C1E40" w:rsidP="000F113A">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rFonts w:ascii="Calibri" w:hAnsi="Calibri" w:cs="Calibri"/>
                <w:color w:val="auto"/>
              </w:rPr>
              <w:t xml:space="preserve">The type of facility where the commodity is destined. For example, a commodity can originate at a grain silo, distribution centre, manufacturer, quarry, fuel terminal, farm and so on. This provides the user with a practical real-world description of the origin point. It helps visualise what the origin-destination supply chain looks like for each commodity. </w:t>
            </w:r>
          </w:p>
        </w:tc>
      </w:tr>
      <w:tr w:rsidR="00CD4B7C" w:rsidRPr="00CD4B7C" w14:paraId="68D54ACF" w14:textId="77777777" w:rsidTr="000F11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3" w:type="pct"/>
          </w:tcPr>
          <w:p w14:paraId="39A91DAA" w14:textId="77777777" w:rsidR="007C1E40" w:rsidRPr="00CD4B7C" w:rsidRDefault="007C1E40" w:rsidP="000F113A">
            <w:pPr>
              <w:pStyle w:val="BodyText"/>
              <w:rPr>
                <w:color w:val="auto"/>
              </w:rPr>
            </w:pPr>
            <w:r w:rsidRPr="00CD4B7C">
              <w:rPr>
                <w:rFonts w:ascii="Calibri" w:hAnsi="Calibri" w:cs="Calibri"/>
                <w:color w:val="auto"/>
              </w:rPr>
              <w:t>SA3_CODE_</w:t>
            </w:r>
            <w:r w:rsidRPr="00CD4B7C">
              <w:rPr>
                <w:rFonts w:ascii="Calibri" w:hAnsi="Calibri" w:cs="Calibri"/>
                <w:color w:val="auto"/>
              </w:rPr>
              <w:br/>
              <w:t>D</w:t>
            </w:r>
          </w:p>
        </w:tc>
        <w:tc>
          <w:tcPr>
            <w:tcW w:w="3987" w:type="pct"/>
          </w:tcPr>
          <w:p w14:paraId="27E3CA51" w14:textId="77777777" w:rsidR="007C1E40" w:rsidRPr="00CD4B7C" w:rsidRDefault="007C1E40" w:rsidP="000F113A">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rFonts w:ascii="Calibri" w:hAnsi="Calibri" w:cs="Calibri"/>
                <w:color w:val="auto"/>
              </w:rPr>
              <w:t xml:space="preserve">A commodity is destined for an SA3, where SA3 (Statistical Area Level 3) is the geographic classification area used in the SFM. The SA3 destination code is a 5-digit code in NSW or </w:t>
            </w:r>
            <w:r w:rsidRPr="00CD4B7C">
              <w:rPr>
                <w:rFonts w:ascii="Calibri" w:hAnsi="Calibri" w:cs="Calibri"/>
                <w:color w:val="auto"/>
              </w:rPr>
              <w:lastRenderedPageBreak/>
              <w:t>interstate. The codes come directly from the Australian Bureau of Statistics' (ABS) Australian Statistical Geography Standard.</w:t>
            </w:r>
          </w:p>
        </w:tc>
      </w:tr>
      <w:tr w:rsidR="00CD4B7C" w:rsidRPr="00CD4B7C" w14:paraId="456FB093" w14:textId="77777777" w:rsidTr="000F113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3" w:type="pct"/>
          </w:tcPr>
          <w:p w14:paraId="59A3C8AE" w14:textId="77777777" w:rsidR="007C1E40" w:rsidRPr="00CD4B7C" w:rsidRDefault="007C1E40" w:rsidP="000F113A">
            <w:pPr>
              <w:pStyle w:val="BodyText"/>
              <w:rPr>
                <w:color w:val="auto"/>
              </w:rPr>
            </w:pPr>
            <w:r w:rsidRPr="00CD4B7C">
              <w:rPr>
                <w:rFonts w:ascii="Calibri" w:hAnsi="Calibri" w:cs="Calibri"/>
                <w:color w:val="auto"/>
              </w:rPr>
              <w:lastRenderedPageBreak/>
              <w:t>SA3_CODE_D_NEW</w:t>
            </w:r>
          </w:p>
        </w:tc>
        <w:tc>
          <w:tcPr>
            <w:tcW w:w="3987" w:type="pct"/>
          </w:tcPr>
          <w:p w14:paraId="7B56A11C" w14:textId="77777777" w:rsidR="007C1E40" w:rsidRPr="00CD4B7C" w:rsidRDefault="007C1E40" w:rsidP="000F113A">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rFonts w:ascii="Calibri" w:hAnsi="Calibri" w:cs="Calibri"/>
                <w:color w:val="auto"/>
              </w:rPr>
              <w:t xml:space="preserve">The above 5-digit SA3 destination codes are translated in instances where 5-digit interstate SA3 destination codes are available. For a small number of commodities, 5-digit interstate SA3 destination codes are available. These 5-digit interstate codes need to be converted to single-digit interstate codes. For example, some aggregates and sand from NSW is destined for 20403, which is the 5-digit code for the Wodonga-Alpine SA3. This SA3 </w:t>
            </w:r>
            <w:proofErr w:type="gramStart"/>
            <w:r w:rsidRPr="00CD4B7C">
              <w:rPr>
                <w:rFonts w:ascii="Calibri" w:hAnsi="Calibri" w:cs="Calibri"/>
                <w:color w:val="auto"/>
              </w:rPr>
              <w:t>is located in</w:t>
            </w:r>
            <w:proofErr w:type="gramEnd"/>
            <w:r w:rsidRPr="00CD4B7C">
              <w:rPr>
                <w:rFonts w:ascii="Calibri" w:hAnsi="Calibri" w:cs="Calibri"/>
                <w:color w:val="auto"/>
              </w:rPr>
              <w:t xml:space="preserve"> Victoria. Since Victoria has a single-digit code of 2 the flat file translates "20403" to "2". A further example is grain.  Some grain from NSW is destined for Port of Brisbane for export. It is destined for 30103, which is the 5-digit code for the Wynnum-Manly SA3 (Port of Brisbane falls within this SA3). This SA3 </w:t>
            </w:r>
            <w:proofErr w:type="gramStart"/>
            <w:r w:rsidRPr="00CD4B7C">
              <w:rPr>
                <w:rFonts w:ascii="Calibri" w:hAnsi="Calibri" w:cs="Calibri"/>
                <w:color w:val="auto"/>
              </w:rPr>
              <w:t>is located in</w:t>
            </w:r>
            <w:proofErr w:type="gramEnd"/>
            <w:r w:rsidRPr="00CD4B7C">
              <w:rPr>
                <w:rFonts w:ascii="Calibri" w:hAnsi="Calibri" w:cs="Calibri"/>
                <w:color w:val="auto"/>
              </w:rPr>
              <w:t xml:space="preserve"> Queensland. Since Queensland has a single-digit code of 3 the flat file translates "30103" to "3". This process ensures all interstate destinations are denoted by single-digit codes across all commodity movements. But the flat file does provide the user with the opportunity to drill down to the 5-digit interstate SA3 destination level for locational granularity purposes. That is, the user can find the specific interstate location for those commodities where it is available.</w:t>
            </w:r>
          </w:p>
        </w:tc>
      </w:tr>
      <w:tr w:rsidR="00CD4B7C" w:rsidRPr="00CD4B7C" w14:paraId="218A159D" w14:textId="77777777" w:rsidTr="000F11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3" w:type="pct"/>
          </w:tcPr>
          <w:p w14:paraId="68D5C58D" w14:textId="77777777" w:rsidR="007C1E40" w:rsidRPr="00CD4B7C" w:rsidRDefault="007C1E40" w:rsidP="000F113A">
            <w:pPr>
              <w:pStyle w:val="BodyText"/>
              <w:rPr>
                <w:color w:val="auto"/>
              </w:rPr>
            </w:pPr>
            <w:r w:rsidRPr="00CD4B7C">
              <w:rPr>
                <w:rFonts w:ascii="Calibri" w:hAnsi="Calibri" w:cs="Calibri"/>
                <w:color w:val="auto"/>
              </w:rPr>
              <w:t>SA3_NAME_D</w:t>
            </w:r>
          </w:p>
        </w:tc>
        <w:tc>
          <w:tcPr>
            <w:tcW w:w="3987" w:type="pct"/>
          </w:tcPr>
          <w:p w14:paraId="6C089D5E" w14:textId="77777777" w:rsidR="007C1E40" w:rsidRPr="00CD4B7C" w:rsidRDefault="007C1E40" w:rsidP="000F113A">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rFonts w:ascii="Calibri" w:hAnsi="Calibri" w:cs="Calibri"/>
                <w:color w:val="auto"/>
              </w:rPr>
              <w:t>The SA3 name corresponding to the above SA3 code (SA3_CODE_D_NEW)</w:t>
            </w:r>
          </w:p>
        </w:tc>
      </w:tr>
      <w:tr w:rsidR="00CD4B7C" w:rsidRPr="00CD4B7C" w14:paraId="3711D7E4" w14:textId="77777777" w:rsidTr="000F113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3" w:type="pct"/>
          </w:tcPr>
          <w:p w14:paraId="496BE241" w14:textId="77777777" w:rsidR="007C1E40" w:rsidRPr="00CD4B7C" w:rsidRDefault="007C1E40" w:rsidP="000F113A">
            <w:pPr>
              <w:pStyle w:val="BodyText"/>
              <w:rPr>
                <w:color w:val="auto"/>
              </w:rPr>
            </w:pPr>
            <w:r w:rsidRPr="00CD4B7C">
              <w:rPr>
                <w:rFonts w:ascii="Calibri" w:hAnsi="Calibri" w:cs="Calibri"/>
                <w:color w:val="auto"/>
              </w:rPr>
              <w:t>SA3_NAME_D_New</w:t>
            </w:r>
          </w:p>
        </w:tc>
        <w:tc>
          <w:tcPr>
            <w:tcW w:w="3987" w:type="pct"/>
          </w:tcPr>
          <w:p w14:paraId="4AD3B69F" w14:textId="77777777" w:rsidR="007C1E40" w:rsidRPr="00CD4B7C" w:rsidRDefault="007C1E40" w:rsidP="000F113A">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rFonts w:ascii="Calibri" w:hAnsi="Calibri" w:cs="Calibri"/>
                <w:color w:val="auto"/>
              </w:rPr>
              <w:t>The above SA3 destination names are translated in instances where interstate SA3 destination names are available. For a small number of commodities, interstate SA3 destination names are available. These interstate SA3 names need to be converted to the generic interstate name. Using the same examples outlined in column J, the "Wodonga-Alpine" SA3 name is translated to "VIC". Similarly, the "Wynnum-Manly" SA3 name is translated to "QLD". This process ensures all interstate destinations are denoted by their generic interstate name across all commodity movements. But the flat file does provide the user with the opportunity to obtain the specific interstate SA3 name where it is available.</w:t>
            </w:r>
          </w:p>
        </w:tc>
      </w:tr>
      <w:tr w:rsidR="00CD4B7C" w:rsidRPr="00CD4B7C" w14:paraId="7567E6DC" w14:textId="77777777" w:rsidTr="000F11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3" w:type="pct"/>
          </w:tcPr>
          <w:p w14:paraId="42940F68" w14:textId="77777777" w:rsidR="007C1E40" w:rsidRPr="00CD4B7C" w:rsidRDefault="007C1E40" w:rsidP="000F113A">
            <w:pPr>
              <w:pStyle w:val="BodyText"/>
              <w:rPr>
                <w:color w:val="auto"/>
              </w:rPr>
            </w:pPr>
            <w:r w:rsidRPr="00CD4B7C">
              <w:rPr>
                <w:rFonts w:ascii="Calibri" w:hAnsi="Calibri" w:cs="Calibri"/>
                <w:color w:val="auto"/>
              </w:rPr>
              <w:t>SA3OD</w:t>
            </w:r>
          </w:p>
        </w:tc>
        <w:tc>
          <w:tcPr>
            <w:tcW w:w="3987" w:type="pct"/>
          </w:tcPr>
          <w:p w14:paraId="451FF0DB" w14:textId="77777777" w:rsidR="007C1E40" w:rsidRPr="00CD4B7C" w:rsidRDefault="007C1E40" w:rsidP="000F113A">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rFonts w:ascii="Calibri" w:hAnsi="Calibri" w:cs="Calibri"/>
                <w:color w:val="auto"/>
              </w:rPr>
              <w:t>The name of the SA3 origin and destination for a particular commodity movement. It is a combination of "SA3_NAME_O" and "SA3_NAME_D_NEW".</w:t>
            </w:r>
          </w:p>
        </w:tc>
      </w:tr>
      <w:tr w:rsidR="00CD4B7C" w:rsidRPr="00CD4B7C" w14:paraId="5A4D037C" w14:textId="77777777" w:rsidTr="000F113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3" w:type="pct"/>
          </w:tcPr>
          <w:p w14:paraId="2E1075F1" w14:textId="77777777" w:rsidR="007C1E40" w:rsidRPr="00CD4B7C" w:rsidRDefault="007C1E40" w:rsidP="000F113A">
            <w:pPr>
              <w:pStyle w:val="BodyText"/>
              <w:rPr>
                <w:color w:val="auto"/>
              </w:rPr>
            </w:pPr>
            <w:r w:rsidRPr="00CD4B7C">
              <w:rPr>
                <w:rFonts w:ascii="Calibri" w:hAnsi="Calibri" w:cs="Calibri"/>
                <w:color w:val="auto"/>
              </w:rPr>
              <w:t>COMMODITY_GROUP</w:t>
            </w:r>
          </w:p>
        </w:tc>
        <w:tc>
          <w:tcPr>
            <w:tcW w:w="3987" w:type="pct"/>
          </w:tcPr>
          <w:p w14:paraId="4889674E" w14:textId="77777777" w:rsidR="007C1E40" w:rsidRPr="00CD4B7C" w:rsidRDefault="007C1E40" w:rsidP="000F113A">
            <w:pPr>
              <w:pStyle w:val="BodyText"/>
              <w:cnfStyle w:val="000000010000" w:firstRow="0" w:lastRow="0" w:firstColumn="0" w:lastColumn="0" w:oddVBand="0" w:evenVBand="0" w:oddHBand="0" w:evenHBand="1" w:firstRowFirstColumn="0" w:firstRowLastColumn="0" w:lastRowFirstColumn="0" w:lastRowLastColumn="0"/>
              <w:rPr>
                <w:color w:val="auto"/>
              </w:rPr>
            </w:pPr>
            <w:r w:rsidRPr="00CD4B7C">
              <w:rPr>
                <w:rFonts w:ascii="Calibri" w:hAnsi="Calibri" w:cs="Calibri"/>
                <w:color w:val="auto"/>
              </w:rPr>
              <w:t xml:space="preserve">The name for the broad or general commodity group. For example, "Construction Materials" captures the different types of construction materials. "Consumer Products" includes the different types of commodities consumed by households (food and non-food).  </w:t>
            </w:r>
          </w:p>
        </w:tc>
      </w:tr>
      <w:tr w:rsidR="00CD4B7C" w:rsidRPr="00CD4B7C" w14:paraId="5F400435" w14:textId="77777777" w:rsidTr="000F11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3" w:type="pct"/>
          </w:tcPr>
          <w:p w14:paraId="578B9851" w14:textId="77777777" w:rsidR="007C1E40" w:rsidRPr="00CD4B7C" w:rsidRDefault="007C1E40" w:rsidP="000F113A">
            <w:pPr>
              <w:pStyle w:val="BodyText"/>
              <w:rPr>
                <w:color w:val="auto"/>
              </w:rPr>
            </w:pPr>
            <w:r w:rsidRPr="00CD4B7C">
              <w:rPr>
                <w:rFonts w:ascii="Calibri" w:hAnsi="Calibri" w:cs="Calibri"/>
                <w:color w:val="auto"/>
              </w:rPr>
              <w:t>SUB_COMMODITY</w:t>
            </w:r>
          </w:p>
        </w:tc>
        <w:tc>
          <w:tcPr>
            <w:tcW w:w="3987" w:type="pct"/>
          </w:tcPr>
          <w:p w14:paraId="215F4753" w14:textId="77777777" w:rsidR="007C1E40" w:rsidRPr="00CD4B7C" w:rsidRDefault="007C1E40" w:rsidP="000F113A">
            <w:pPr>
              <w:pStyle w:val="BodyText"/>
              <w:cnfStyle w:val="000000100000" w:firstRow="0" w:lastRow="0" w:firstColumn="0" w:lastColumn="0" w:oddVBand="0" w:evenVBand="0" w:oddHBand="1" w:evenHBand="0" w:firstRowFirstColumn="0" w:firstRowLastColumn="0" w:lastRowFirstColumn="0" w:lastRowLastColumn="0"/>
              <w:rPr>
                <w:color w:val="auto"/>
              </w:rPr>
            </w:pPr>
            <w:r w:rsidRPr="00CD4B7C">
              <w:rPr>
                <w:rFonts w:ascii="Calibri" w:hAnsi="Calibri" w:cs="Calibri"/>
                <w:color w:val="auto"/>
              </w:rPr>
              <w:t xml:space="preserve">The specific names of commodities falling under the "Commodity Group". For example, aggregates and sand, cement, concrete, bricks, bitumen, fly ash, plasterboard is the name of the sub commodities falling under the Construction Materials commodity group. Similarly, food and non-food </w:t>
            </w:r>
            <w:proofErr w:type="gramStart"/>
            <w:r w:rsidRPr="00CD4B7C">
              <w:rPr>
                <w:rFonts w:ascii="Calibri" w:hAnsi="Calibri" w:cs="Calibri"/>
                <w:color w:val="auto"/>
              </w:rPr>
              <w:t>is</w:t>
            </w:r>
            <w:proofErr w:type="gramEnd"/>
            <w:r w:rsidRPr="00CD4B7C">
              <w:rPr>
                <w:rFonts w:ascii="Calibri" w:hAnsi="Calibri" w:cs="Calibri"/>
                <w:color w:val="auto"/>
              </w:rPr>
              <w:t xml:space="preserve"> the name of the sub commodities falling under the Consumer Goods commodity group.</w:t>
            </w:r>
          </w:p>
        </w:tc>
      </w:tr>
    </w:tbl>
    <w:p w14:paraId="62D61CFA" w14:textId="0C67B71E" w:rsidR="00030B08" w:rsidRPr="00CD4B7C" w:rsidRDefault="00030B08" w:rsidP="007C1E40">
      <w:pPr>
        <w:pStyle w:val="Heading2"/>
        <w:rPr>
          <w:rFonts w:ascii="Arial" w:eastAsia="Times New Roman" w:hAnsi="Arial"/>
          <w:color w:val="auto"/>
          <w:szCs w:val="28"/>
          <w:lang w:eastAsia="en-AU"/>
        </w:rPr>
      </w:pPr>
    </w:p>
    <w:p w14:paraId="01E8AAE8" w14:textId="77777777" w:rsidR="00030B08" w:rsidRDefault="00030B08" w:rsidP="00030B08">
      <w:pPr>
        <w:pStyle w:val="BodyText"/>
        <w:rPr>
          <w:sz w:val="28"/>
          <w:lang w:eastAsia="en-AU"/>
        </w:rPr>
      </w:pPr>
      <w:r>
        <w:rPr>
          <w:lang w:eastAsia="en-AU"/>
        </w:rPr>
        <w:br w:type="page"/>
      </w:r>
    </w:p>
    <w:p w14:paraId="1089E6CC" w14:textId="634B8264" w:rsidR="007C1E40" w:rsidRDefault="007C1E40" w:rsidP="007C1E40">
      <w:pPr>
        <w:pStyle w:val="Heading2"/>
        <w:rPr>
          <w:rFonts w:ascii="Arial" w:eastAsia="Times New Roman" w:hAnsi="Arial"/>
          <w:color w:val="002664"/>
          <w:szCs w:val="28"/>
          <w:lang w:eastAsia="en-AU"/>
        </w:rPr>
      </w:pPr>
      <w:r>
        <w:rPr>
          <w:rFonts w:ascii="Arial" w:eastAsia="Times New Roman" w:hAnsi="Arial"/>
          <w:color w:val="002664"/>
          <w:szCs w:val="28"/>
          <w:lang w:eastAsia="en-AU"/>
        </w:rPr>
        <w:lastRenderedPageBreak/>
        <w:t>Sample data</w:t>
      </w:r>
    </w:p>
    <w:p w14:paraId="40984D2D" w14:textId="3BC69927" w:rsidR="007C1E40" w:rsidRDefault="00030B08" w:rsidP="007C1E40">
      <w:pPr>
        <w:pStyle w:val="BodyText"/>
        <w:rPr>
          <w:lang w:eastAsia="en-AU"/>
        </w:rPr>
      </w:pPr>
      <w:r>
        <w:rPr>
          <w:lang w:eastAsia="en-AU"/>
        </w:rPr>
        <w:t xml:space="preserve">A small sample of the </w:t>
      </w:r>
      <w:r w:rsidR="007C1E40">
        <w:rPr>
          <w:lang w:eastAsia="en-AU"/>
        </w:rPr>
        <w:t>data structure</w:t>
      </w:r>
      <w:r>
        <w:rPr>
          <w:lang w:eastAsia="en-AU"/>
        </w:rPr>
        <w:t xml:space="preserve"> in the SFM22 Excel flat file is shown below.</w:t>
      </w:r>
    </w:p>
    <w:p w14:paraId="2ECE8B4B" w14:textId="4F99B80A" w:rsidR="007C1E40" w:rsidRDefault="007C1E40" w:rsidP="007C1E40">
      <w:pPr>
        <w:pStyle w:val="BodyText"/>
        <w:rPr>
          <w:lang w:eastAsia="en-AU"/>
        </w:rPr>
      </w:pPr>
      <w:r w:rsidRPr="007C1E40">
        <w:rPr>
          <w:noProof/>
        </w:rPr>
        <w:drawing>
          <wp:inline distT="0" distB="0" distL="0" distR="0" wp14:anchorId="57362C3A" wp14:editId="56BADBC1">
            <wp:extent cx="6479540" cy="747395"/>
            <wp:effectExtent l="19050" t="19050" r="16510" b="14605"/>
            <wp:docPr id="842792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92286" name=""/>
                    <pic:cNvPicPr/>
                  </pic:nvPicPr>
                  <pic:blipFill>
                    <a:blip r:embed="rId12"/>
                    <a:stretch>
                      <a:fillRect/>
                    </a:stretch>
                  </pic:blipFill>
                  <pic:spPr>
                    <a:xfrm>
                      <a:off x="0" y="0"/>
                      <a:ext cx="6479540" cy="747395"/>
                    </a:xfrm>
                    <a:prstGeom prst="rect">
                      <a:avLst/>
                    </a:prstGeom>
                    <a:ln>
                      <a:solidFill>
                        <a:schemeClr val="bg1">
                          <a:lumMod val="50000"/>
                        </a:schemeClr>
                      </a:solidFill>
                    </a:ln>
                  </pic:spPr>
                </pic:pic>
              </a:graphicData>
            </a:graphic>
          </wp:inline>
        </w:drawing>
      </w:r>
    </w:p>
    <w:p w14:paraId="51E467EF" w14:textId="158A2865" w:rsidR="007C1E40" w:rsidRPr="007C1E40" w:rsidRDefault="007C1E40" w:rsidP="007C1E40">
      <w:pPr>
        <w:pStyle w:val="BodyText"/>
        <w:rPr>
          <w:lang w:eastAsia="en-AU"/>
        </w:rPr>
      </w:pPr>
      <w:r w:rsidRPr="007C1E40">
        <w:rPr>
          <w:noProof/>
        </w:rPr>
        <w:drawing>
          <wp:inline distT="0" distB="0" distL="0" distR="0" wp14:anchorId="703C6163" wp14:editId="7DF9F233">
            <wp:extent cx="6479540" cy="996950"/>
            <wp:effectExtent l="19050" t="19050" r="16510" b="12700"/>
            <wp:docPr id="1937083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83147" name=""/>
                    <pic:cNvPicPr/>
                  </pic:nvPicPr>
                  <pic:blipFill>
                    <a:blip r:embed="rId13"/>
                    <a:stretch>
                      <a:fillRect/>
                    </a:stretch>
                  </pic:blipFill>
                  <pic:spPr>
                    <a:xfrm>
                      <a:off x="0" y="0"/>
                      <a:ext cx="6479540" cy="996950"/>
                    </a:xfrm>
                    <a:prstGeom prst="rect">
                      <a:avLst/>
                    </a:prstGeom>
                    <a:ln>
                      <a:solidFill>
                        <a:schemeClr val="bg1">
                          <a:lumMod val="50000"/>
                        </a:schemeClr>
                      </a:solidFill>
                    </a:ln>
                  </pic:spPr>
                </pic:pic>
              </a:graphicData>
            </a:graphic>
          </wp:inline>
        </w:drawing>
      </w:r>
    </w:p>
    <w:p w14:paraId="1A6DC9FD" w14:textId="77777777" w:rsidR="007C1E40" w:rsidRPr="00464377" w:rsidRDefault="007C1E40" w:rsidP="00BE14A8">
      <w:pPr>
        <w:pStyle w:val="BodyText"/>
      </w:pPr>
    </w:p>
    <w:sectPr w:rsidR="007C1E40" w:rsidRPr="00464377" w:rsidSect="00DD578A">
      <w:footerReference w:type="even" r:id="rId14"/>
      <w:footerReference w:type="default" r:id="rId15"/>
      <w:headerReference w:type="first" r:id="rId16"/>
      <w:footerReference w:type="first" r:id="rId17"/>
      <w:type w:val="continuous"/>
      <w:pgSz w:w="11906" w:h="16838" w:code="9"/>
      <w:pgMar w:top="851" w:right="851" w:bottom="170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27193" w14:textId="77777777" w:rsidR="00D53388" w:rsidRDefault="00D53388" w:rsidP="00921FD3">
      <w:r>
        <w:separator/>
      </w:r>
    </w:p>
  </w:endnote>
  <w:endnote w:type="continuationSeparator" w:id="0">
    <w:p w14:paraId="45CFEF5E" w14:textId="77777777" w:rsidR="00D53388" w:rsidRDefault="00D53388" w:rsidP="00921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CF463298-96BB-47CF-B05B-121C0B3D767F}"/>
    <w:embedBold r:id="rId2" w:fontKey="{FE242AEA-EB37-45C4-A155-FAF02C7FC0C9}"/>
  </w:font>
  <w:font w:name="Public Sans SemiBold">
    <w:altName w:val="Calibri"/>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966FB" w14:textId="2898B19C" w:rsidR="001D778E" w:rsidRDefault="001D778E">
    <w:pPr>
      <w:pStyle w:val="Footer"/>
    </w:pPr>
    <w:r>
      <w:rPr>
        <w:noProof/>
      </w:rPr>
      <mc:AlternateContent>
        <mc:Choice Requires="wps">
          <w:drawing>
            <wp:anchor distT="0" distB="0" distL="0" distR="0" simplePos="0" relativeHeight="251666432" behindDoc="0" locked="0" layoutInCell="1" allowOverlap="1" wp14:anchorId="04E26E44" wp14:editId="356F0F87">
              <wp:simplePos x="635" y="635"/>
              <wp:positionH relativeFrom="page">
                <wp:align>center</wp:align>
              </wp:positionH>
              <wp:positionV relativeFrom="page">
                <wp:align>bottom</wp:align>
              </wp:positionV>
              <wp:extent cx="459740" cy="345440"/>
              <wp:effectExtent l="0" t="0" r="16510" b="0"/>
              <wp:wrapNone/>
              <wp:docPr id="22198045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a:effectLst/>
                    </wps:spPr>
                    <wps:txbx>
                      <w:txbxContent>
                        <w:p w14:paraId="65FBA4D3" w14:textId="01EF224D" w:rsidR="001D778E" w:rsidRPr="001D778E" w:rsidRDefault="001D778E" w:rsidP="001D778E">
                          <w:pPr>
                            <w:rPr>
                              <w:noProof/>
                              <w:color w:val="000000"/>
                            </w:rPr>
                          </w:pPr>
                          <w:r w:rsidRPr="001D778E">
                            <w:rPr>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E26E44" id="_x0000_t202" coordsize="21600,21600" o:spt="202" path="m,l,21600r21600,l21600,xe">
              <v:stroke joinstyle="miter"/>
              <v:path gradientshapeok="t" o:connecttype="rect"/>
            </v:shapetype>
            <v:shape id="Text Box 3" o:spid="_x0000_s1026" type="#_x0000_t202" alt="OFFICIAL" style="position:absolute;margin-left:0;margin-top:0;width:36.2pt;height:27.2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" filled="f" stroked="f">
              <v:textbox style="mso-fit-shape-to-text:t" inset="0,0,0,15pt">
                <w:txbxContent>
                  <w:p w14:paraId="65FBA4D3" w14:textId="01EF224D" w:rsidR="001D778E" w:rsidRPr="001D778E" w:rsidRDefault="001D778E" w:rsidP="001D778E">
                    <w:pPr>
                      <w:rPr>
                        <w:noProof/>
                        <w:color w:val="000000"/>
                      </w:rPr>
                    </w:pPr>
                    <w:r w:rsidRPr="001D778E">
                      <w:rPr>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322E8" w14:textId="033711DB" w:rsidR="008645D7" w:rsidRPr="00ED4805" w:rsidRDefault="001D778E" w:rsidP="00997A69">
    <w:pPr>
      <w:pStyle w:val="HeaderFooterSensitivityLabelSpace"/>
      <w:rPr>
        <w:color w:val="22272B" w:themeColor="text1"/>
      </w:rPr>
    </w:pPr>
    <w:r w:rsidRPr="00ED4805">
      <w:rPr>
        <w:noProof/>
        <w:color w:val="22272B" w:themeColor="text1"/>
      </w:rPr>
      <mc:AlternateContent>
        <mc:Choice Requires="wps">
          <w:drawing>
            <wp:anchor distT="0" distB="0" distL="0" distR="0" simplePos="0" relativeHeight="251667456" behindDoc="0" locked="0" layoutInCell="1" allowOverlap="1" wp14:anchorId="72B4A1C6" wp14:editId="5E37FD19">
              <wp:simplePos x="635" y="635"/>
              <wp:positionH relativeFrom="page">
                <wp:align>center</wp:align>
              </wp:positionH>
              <wp:positionV relativeFrom="page">
                <wp:align>bottom</wp:align>
              </wp:positionV>
              <wp:extent cx="459740" cy="345440"/>
              <wp:effectExtent l="0" t="0" r="16510" b="0"/>
              <wp:wrapNone/>
              <wp:docPr id="12758778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a:effectLst/>
                    </wps:spPr>
                    <wps:txbx>
                      <w:txbxContent>
                        <w:p w14:paraId="384E37A2" w14:textId="2BB9079D" w:rsidR="001D778E" w:rsidRPr="001D778E" w:rsidRDefault="001D778E" w:rsidP="001D778E">
                          <w:pPr>
                            <w:rPr>
                              <w:noProof/>
                              <w:color w:val="000000"/>
                            </w:rPr>
                          </w:pPr>
                          <w:r w:rsidRPr="001D778E">
                            <w:rPr>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B4A1C6" id="_x0000_t202" coordsize="21600,21600" o:spt="202" path="m,l,21600r21600,l21600,xe">
              <v:stroke joinstyle="miter"/>
              <v:path gradientshapeok="t" o:connecttype="rect"/>
            </v:shapetype>
            <v:shape id="Text Box 4" o:spid="_x0000_s1027" type="#_x0000_t202" alt="OFFICIAL" style="position:absolute;margin-left:0;margin-top:0;width:36.2pt;height:27.2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" filled="f" stroked="f">
              <v:textbox style="mso-fit-shape-to-text:t" inset="0,0,0,15pt">
                <w:txbxContent>
                  <w:p w14:paraId="384E37A2" w14:textId="2BB9079D" w:rsidR="001D778E" w:rsidRPr="001D778E" w:rsidRDefault="001D778E" w:rsidP="001D778E">
                    <w:pPr>
                      <w:rPr>
                        <w:noProof/>
                        <w:color w:val="000000"/>
                      </w:rPr>
                    </w:pPr>
                    <w:r w:rsidRPr="001D778E">
                      <w:rPr>
                        <w:noProof/>
                        <w:color w:val="000000"/>
                      </w:rPr>
                      <w:t>OFFICIAL</w:t>
                    </w:r>
                  </w:p>
                </w:txbxContent>
              </v:textbox>
              <w10:wrap anchorx="page" anchory="page"/>
            </v:shape>
          </w:pict>
        </mc:Fallback>
      </mc:AlternateContent>
    </w:r>
  </w:p>
  <w:p w14:paraId="6E5ED3C7" w14:textId="77777777" w:rsidR="00610A2D" w:rsidRPr="008645D7" w:rsidRDefault="00D20E6C" w:rsidP="00D20E6C">
    <w:pPr>
      <w:pStyle w:val="Footer"/>
    </w:pPr>
    <w:r>
      <w:ptab w:relativeTo="margin" w:alignment="right" w:leader="none"/>
    </w:r>
    <w:r>
      <w:fldChar w:fldCharType="begin"/>
    </w:r>
    <w:r>
      <w:instrText xml:space="preserve"> PAGE   \* MERGEFORMAT </w:instrText>
    </w:r>
    <w:r>
      <w:fldChar w:fldCharType="separate"/>
    </w:r>
    <w: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BCEF" w14:textId="7B0817A8" w:rsidR="001B58BB" w:rsidRPr="00ED4805" w:rsidRDefault="001D778E" w:rsidP="001B58BB">
    <w:pPr>
      <w:pStyle w:val="HeaderFooterSensitivityLabelSpace"/>
      <w:rPr>
        <w:color w:val="22272B" w:themeColor="text1"/>
        <w:sz w:val="18"/>
      </w:rPr>
    </w:pPr>
    <w:r w:rsidRPr="00ED4805">
      <w:rPr>
        <w:noProof/>
        <w:color w:val="22272B" w:themeColor="text1"/>
        <w:sz w:val="18"/>
      </w:rPr>
      <mc:AlternateContent>
        <mc:Choice Requires="wps">
          <w:drawing>
            <wp:anchor distT="0" distB="0" distL="0" distR="0" simplePos="0" relativeHeight="251665408" behindDoc="0" locked="0" layoutInCell="1" allowOverlap="1" wp14:anchorId="008083E4" wp14:editId="78E41ACC">
              <wp:simplePos x="541979" y="9713229"/>
              <wp:positionH relativeFrom="page">
                <wp:align>center</wp:align>
              </wp:positionH>
              <wp:positionV relativeFrom="page">
                <wp:align>bottom</wp:align>
              </wp:positionV>
              <wp:extent cx="459740" cy="345440"/>
              <wp:effectExtent l="0" t="0" r="16510" b="0"/>
              <wp:wrapNone/>
              <wp:docPr id="847357303"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a:effectLst/>
                    </wps:spPr>
                    <wps:txbx>
                      <w:txbxContent>
                        <w:p w14:paraId="0B8F0E5F" w14:textId="0A26FCB3" w:rsidR="001D778E" w:rsidRPr="001D778E" w:rsidRDefault="001D778E" w:rsidP="001D778E">
                          <w:pPr>
                            <w:rPr>
                              <w:noProof/>
                              <w:color w:val="000000"/>
                            </w:rPr>
                          </w:pPr>
                          <w:r w:rsidRPr="001D778E">
                            <w:rPr>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8083E4" id="_x0000_t202" coordsize="21600,21600" o:spt="202" path="m,l,21600r21600,l21600,xe">
              <v:stroke joinstyle="miter"/>
              <v:path gradientshapeok="t" o:connecttype="rect"/>
            </v:shapetype>
            <v:shape id="Text Box 2" o:spid="_x0000_s1028" type="#_x0000_t202" alt="OFFICIAL" style="position:absolute;margin-left:0;margin-top:0;width:36.2pt;height:27.2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" filled="f" stroked="f">
              <v:textbox style="mso-fit-shape-to-text:t" inset="0,0,0,15pt">
                <w:txbxContent>
                  <w:p w14:paraId="0B8F0E5F" w14:textId="0A26FCB3" w:rsidR="001D778E" w:rsidRPr="001D778E" w:rsidRDefault="001D778E" w:rsidP="001D778E">
                    <w:pPr>
                      <w:rPr>
                        <w:noProof/>
                        <w:color w:val="000000"/>
                      </w:rPr>
                    </w:pPr>
                    <w:r w:rsidRPr="001D778E">
                      <w:rPr>
                        <w:noProof/>
                        <w:color w:val="000000"/>
                      </w:rPr>
                      <w:t>OFFICIAL</w:t>
                    </w:r>
                  </w:p>
                </w:txbxContent>
              </v:textbox>
              <w10:wrap anchorx="page" anchory="page"/>
            </v:shape>
          </w:pict>
        </mc:Fallback>
      </mc:AlternateContent>
    </w:r>
  </w:p>
  <w:p w14:paraId="271FFC49" w14:textId="77777777" w:rsidR="001B58BB" w:rsidRPr="001B58BB" w:rsidRDefault="00D20E6C" w:rsidP="00D20E6C">
    <w:pPr>
      <w:pStyle w:val="Footer"/>
    </w:pPr>
    <w:r>
      <w:ptab w:relativeTo="margin" w:alignment="right" w:leader="none"/>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D8E53" w14:textId="77777777" w:rsidR="00D53388" w:rsidRDefault="00D53388" w:rsidP="00921FD3">
      <w:r>
        <w:separator/>
      </w:r>
    </w:p>
  </w:footnote>
  <w:footnote w:type="continuationSeparator" w:id="0">
    <w:p w14:paraId="758072CC" w14:textId="77777777" w:rsidR="00D53388" w:rsidRDefault="00D53388" w:rsidP="00921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EA351" w14:textId="77777777" w:rsidR="00DD578A" w:rsidRDefault="00576CCF">
    <w:pPr>
      <w:pStyle w:val="Header"/>
    </w:pPr>
    <w:r>
      <w:rPr>
        <w:noProof/>
      </w:rPr>
      <mc:AlternateContent>
        <mc:Choice Requires="wps">
          <w:drawing>
            <wp:anchor distT="0" distB="0" distL="114300" distR="114300" simplePos="0" relativeHeight="251659264" behindDoc="1" locked="0" layoutInCell="1" allowOverlap="1" wp14:anchorId="4FFB5C21" wp14:editId="790A2E29">
              <wp:simplePos x="0" y="0"/>
              <wp:positionH relativeFrom="page">
                <wp:align>center</wp:align>
              </wp:positionH>
              <wp:positionV relativeFrom="page">
                <wp:align>top</wp:align>
              </wp:positionV>
              <wp:extent cx="7560000" cy="25200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520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CB227" id="Rectangle 5" o:spid="_x0000_s1026" alt="&quot;&quot;" style="position:absolute;margin-left:0;margin-top:0;width:595.3pt;height:198.4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" fillcolor="#cbedfd [3207]" stroked="f" strokeweight="1pt">
              <w10:wrap anchorx="page" anchory="page"/>
            </v:rect>
          </w:pict>
        </mc:Fallback>
      </mc:AlternateContent>
    </w:r>
    <w:r w:rsidR="006E1287">
      <w:rPr>
        <w:noProof/>
      </w:rPr>
      <mc:AlternateContent>
        <mc:Choice Requires="wps">
          <w:drawing>
            <wp:anchor distT="36195" distB="0" distL="114300" distR="114300" simplePos="0" relativeHeight="251664384" behindDoc="1" locked="0" layoutInCell="1" allowOverlap="1" wp14:anchorId="1699C260" wp14:editId="23C28A82">
              <wp:simplePos x="0" y="0"/>
              <wp:positionH relativeFrom="page">
                <wp:align>center</wp:align>
              </wp:positionH>
              <wp:positionV relativeFrom="page">
                <wp:posOffset>1476375</wp:posOffset>
              </wp:positionV>
              <wp:extent cx="7560000" cy="72000"/>
              <wp:effectExtent l="0" t="0" r="0" b="4445"/>
              <wp:wrapTopAndBottom/>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000AA" id="Rectangle 1" o:spid="_x0000_s1026" alt="&quot;&quot;" style="position:absolute;margin-left:0;margin-top:116.25pt;width:595.3pt;height:5.65pt;z-index:-251652096;visibility:visible;mso-wrap-style:square;mso-width-percent:0;mso-height-percent:0;mso-wrap-distance-left:9pt;mso-wrap-distance-top:2.85pt;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" filled="f" stroked="f" strokeweight="1pt">
              <w10:wrap type="topAndBottom" anchorx="page" anchory="page"/>
            </v:rect>
          </w:pict>
        </mc:Fallback>
      </mc:AlternateContent>
    </w:r>
    <w:r w:rsidR="000953AB" w:rsidRPr="0051472C">
      <w:rPr>
        <w:noProof/>
      </w:rPr>
      <w:drawing>
        <wp:anchor distT="0" distB="0" distL="114300" distR="114300" simplePos="0" relativeHeight="251662336" behindDoc="1" locked="0" layoutInCell="1" allowOverlap="1" wp14:anchorId="79486874" wp14:editId="69DC1210">
          <wp:simplePos x="0" y="0"/>
          <wp:positionH relativeFrom="margin">
            <wp:align>right</wp:align>
          </wp:positionH>
          <wp:positionV relativeFrom="margin">
            <wp:align>top</wp:align>
          </wp:positionV>
          <wp:extent cx="666000" cy="720000"/>
          <wp:effectExtent l="0" t="0" r="1270" b="444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 w15:restartNumberingAfterBreak="0">
    <w:nsid w:val="4A112CED"/>
    <w:multiLevelType w:val="hybridMultilevel"/>
    <w:tmpl w:val="7A6C2746"/>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5"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5DA70FD3"/>
    <w:multiLevelType w:val="hybridMultilevel"/>
    <w:tmpl w:val="A4168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48921062">
    <w:abstractNumId w:val="5"/>
  </w:num>
  <w:num w:numId="2" w16cid:durableId="1878276292">
    <w:abstractNumId w:val="6"/>
  </w:num>
  <w:num w:numId="3" w16cid:durableId="1269660198">
    <w:abstractNumId w:val="3"/>
  </w:num>
  <w:num w:numId="4" w16cid:durableId="1508444419">
    <w:abstractNumId w:val="0"/>
  </w:num>
  <w:num w:numId="5" w16cid:durableId="1686709768">
    <w:abstractNumId w:val="2"/>
  </w:num>
  <w:num w:numId="6" w16cid:durableId="2133087865">
    <w:abstractNumId w:val="1"/>
  </w:num>
  <w:num w:numId="7" w16cid:durableId="1252350034">
    <w:abstractNumId w:val="1"/>
    <w:lvlOverride w:ilvl="0">
      <w:startOverride w:val="1"/>
    </w:lvlOverride>
  </w:num>
  <w:num w:numId="8" w16cid:durableId="1422918899">
    <w:abstractNumId w:val="0"/>
    <w:lvlOverride w:ilvl="0">
      <w:startOverride w:val="1"/>
    </w:lvlOverride>
  </w:num>
  <w:num w:numId="9" w16cid:durableId="524563940">
    <w:abstractNumId w:val="2"/>
    <w:lvlOverride w:ilvl="0">
      <w:startOverride w:val="1"/>
    </w:lvlOverride>
  </w:num>
  <w:num w:numId="10" w16cid:durableId="906453950">
    <w:abstractNumId w:val="5"/>
  </w:num>
  <w:num w:numId="11" w16cid:durableId="1199507892">
    <w:abstractNumId w:val="1"/>
  </w:num>
  <w:num w:numId="12" w16cid:durableId="1194269471">
    <w:abstractNumId w:val="6"/>
  </w:num>
  <w:num w:numId="13" w16cid:durableId="1388914959">
    <w:abstractNumId w:val="3"/>
  </w:num>
  <w:num w:numId="14" w16cid:durableId="1197817635">
    <w:abstractNumId w:val="0"/>
  </w:num>
  <w:num w:numId="15" w16cid:durableId="924723709">
    <w:abstractNumId w:val="2"/>
  </w:num>
  <w:num w:numId="16" w16cid:durableId="1285228989">
    <w:abstractNumId w:val="6"/>
  </w:num>
  <w:num w:numId="17" w16cid:durableId="714475838">
    <w:abstractNumId w:val="3"/>
  </w:num>
  <w:num w:numId="18" w16cid:durableId="389302653">
    <w:abstractNumId w:val="5"/>
  </w:num>
  <w:num w:numId="19" w16cid:durableId="920262953">
    <w:abstractNumId w:val="0"/>
  </w:num>
  <w:num w:numId="20" w16cid:durableId="1081752912">
    <w:abstractNumId w:val="2"/>
  </w:num>
  <w:num w:numId="21" w16cid:durableId="989872588">
    <w:abstractNumId w:val="1"/>
  </w:num>
  <w:num w:numId="22" w16cid:durableId="330109590">
    <w:abstractNumId w:val="5"/>
    <w:lvlOverride w:ilvl="0">
      <w:startOverride w:val="1"/>
    </w:lvlOverride>
  </w:num>
  <w:num w:numId="23" w16cid:durableId="9796861">
    <w:abstractNumId w:val="6"/>
    <w:lvlOverride w:ilvl="0">
      <w:startOverride w:val="1"/>
    </w:lvlOverride>
  </w:num>
  <w:num w:numId="24" w16cid:durableId="135034221">
    <w:abstractNumId w:val="3"/>
    <w:lvlOverride w:ilvl="0">
      <w:startOverride w:val="1"/>
    </w:lvlOverride>
  </w:num>
  <w:num w:numId="25" w16cid:durableId="137698041">
    <w:abstractNumId w:val="5"/>
  </w:num>
  <w:num w:numId="26" w16cid:durableId="806356663">
    <w:abstractNumId w:val="1"/>
  </w:num>
  <w:num w:numId="27" w16cid:durableId="895049751">
    <w:abstractNumId w:val="1"/>
    <w:lvlOverride w:ilvl="0">
      <w:startOverride w:val="1"/>
    </w:lvlOverride>
  </w:num>
  <w:num w:numId="28" w16cid:durableId="1381319747">
    <w:abstractNumId w:val="4"/>
  </w:num>
  <w:num w:numId="29" w16cid:durableId="81934528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388"/>
    <w:rsid w:val="00002C93"/>
    <w:rsid w:val="000058C1"/>
    <w:rsid w:val="00006291"/>
    <w:rsid w:val="000100A3"/>
    <w:rsid w:val="000106AC"/>
    <w:rsid w:val="00025E7F"/>
    <w:rsid w:val="00030B08"/>
    <w:rsid w:val="00030C2E"/>
    <w:rsid w:val="00030FD2"/>
    <w:rsid w:val="000319D3"/>
    <w:rsid w:val="00031DFE"/>
    <w:rsid w:val="000369F8"/>
    <w:rsid w:val="00046ACD"/>
    <w:rsid w:val="0005359F"/>
    <w:rsid w:val="0005618A"/>
    <w:rsid w:val="00064974"/>
    <w:rsid w:val="000953AB"/>
    <w:rsid w:val="00096E97"/>
    <w:rsid w:val="000A3A88"/>
    <w:rsid w:val="000A7D6C"/>
    <w:rsid w:val="000C2553"/>
    <w:rsid w:val="000C32C3"/>
    <w:rsid w:val="000C34C5"/>
    <w:rsid w:val="000D6B77"/>
    <w:rsid w:val="000E0F87"/>
    <w:rsid w:val="000E179E"/>
    <w:rsid w:val="000E2ED1"/>
    <w:rsid w:val="000F29F4"/>
    <w:rsid w:val="0010732A"/>
    <w:rsid w:val="001106A0"/>
    <w:rsid w:val="00111775"/>
    <w:rsid w:val="00116733"/>
    <w:rsid w:val="001249A0"/>
    <w:rsid w:val="0013204F"/>
    <w:rsid w:val="0013421B"/>
    <w:rsid w:val="00135F60"/>
    <w:rsid w:val="001375D3"/>
    <w:rsid w:val="0014157C"/>
    <w:rsid w:val="001419CE"/>
    <w:rsid w:val="001455B6"/>
    <w:rsid w:val="001467C3"/>
    <w:rsid w:val="0015035F"/>
    <w:rsid w:val="00150CAE"/>
    <w:rsid w:val="001554D7"/>
    <w:rsid w:val="0015619B"/>
    <w:rsid w:val="0015627D"/>
    <w:rsid w:val="00161785"/>
    <w:rsid w:val="00163D68"/>
    <w:rsid w:val="00163DF6"/>
    <w:rsid w:val="001728CA"/>
    <w:rsid w:val="001800FA"/>
    <w:rsid w:val="001945EC"/>
    <w:rsid w:val="001A0AEB"/>
    <w:rsid w:val="001A186C"/>
    <w:rsid w:val="001A628B"/>
    <w:rsid w:val="001B0831"/>
    <w:rsid w:val="001B58BB"/>
    <w:rsid w:val="001C2AD2"/>
    <w:rsid w:val="001D46D6"/>
    <w:rsid w:val="001D4825"/>
    <w:rsid w:val="001D48FC"/>
    <w:rsid w:val="001D4C98"/>
    <w:rsid w:val="001D754D"/>
    <w:rsid w:val="001D778E"/>
    <w:rsid w:val="001E04AA"/>
    <w:rsid w:val="001E0762"/>
    <w:rsid w:val="00202697"/>
    <w:rsid w:val="00216B6C"/>
    <w:rsid w:val="00223E4A"/>
    <w:rsid w:val="00224DDA"/>
    <w:rsid w:val="00233115"/>
    <w:rsid w:val="00240008"/>
    <w:rsid w:val="002409AB"/>
    <w:rsid w:val="00246190"/>
    <w:rsid w:val="0024683D"/>
    <w:rsid w:val="00247B09"/>
    <w:rsid w:val="002530BB"/>
    <w:rsid w:val="00255A7A"/>
    <w:rsid w:val="002605EC"/>
    <w:rsid w:val="00262045"/>
    <w:rsid w:val="002722B0"/>
    <w:rsid w:val="002725C8"/>
    <w:rsid w:val="00274B76"/>
    <w:rsid w:val="0027645B"/>
    <w:rsid w:val="00286717"/>
    <w:rsid w:val="00287597"/>
    <w:rsid w:val="0029398B"/>
    <w:rsid w:val="00297E89"/>
    <w:rsid w:val="002A1284"/>
    <w:rsid w:val="002C4356"/>
    <w:rsid w:val="002C4F01"/>
    <w:rsid w:val="002C4FBA"/>
    <w:rsid w:val="002C7806"/>
    <w:rsid w:val="002D06D6"/>
    <w:rsid w:val="002D0FCF"/>
    <w:rsid w:val="002D392D"/>
    <w:rsid w:val="002D615C"/>
    <w:rsid w:val="002D7A8C"/>
    <w:rsid w:val="002E235A"/>
    <w:rsid w:val="002E34BF"/>
    <w:rsid w:val="002F1CE9"/>
    <w:rsid w:val="002F666A"/>
    <w:rsid w:val="00303912"/>
    <w:rsid w:val="00305D69"/>
    <w:rsid w:val="00307620"/>
    <w:rsid w:val="00321722"/>
    <w:rsid w:val="003226D8"/>
    <w:rsid w:val="00324D5C"/>
    <w:rsid w:val="003266CA"/>
    <w:rsid w:val="00326B78"/>
    <w:rsid w:val="00326DF1"/>
    <w:rsid w:val="00331551"/>
    <w:rsid w:val="00332DBA"/>
    <w:rsid w:val="00333458"/>
    <w:rsid w:val="00340CA0"/>
    <w:rsid w:val="00343BB5"/>
    <w:rsid w:val="003450AA"/>
    <w:rsid w:val="003503CC"/>
    <w:rsid w:val="003522CE"/>
    <w:rsid w:val="00357235"/>
    <w:rsid w:val="00360042"/>
    <w:rsid w:val="00371F6A"/>
    <w:rsid w:val="0037399B"/>
    <w:rsid w:val="00387695"/>
    <w:rsid w:val="003A44F5"/>
    <w:rsid w:val="003B19B3"/>
    <w:rsid w:val="003B523A"/>
    <w:rsid w:val="003C3E43"/>
    <w:rsid w:val="003E211E"/>
    <w:rsid w:val="003E49F4"/>
    <w:rsid w:val="003E530F"/>
    <w:rsid w:val="003F2265"/>
    <w:rsid w:val="003F2482"/>
    <w:rsid w:val="003F5577"/>
    <w:rsid w:val="00402E8F"/>
    <w:rsid w:val="00403322"/>
    <w:rsid w:val="00404B96"/>
    <w:rsid w:val="00414BBA"/>
    <w:rsid w:val="0042223A"/>
    <w:rsid w:val="00423102"/>
    <w:rsid w:val="0042374C"/>
    <w:rsid w:val="004268D9"/>
    <w:rsid w:val="0043431C"/>
    <w:rsid w:val="0043445D"/>
    <w:rsid w:val="00442D54"/>
    <w:rsid w:val="0045338A"/>
    <w:rsid w:val="004609D1"/>
    <w:rsid w:val="00461B8C"/>
    <w:rsid w:val="00464377"/>
    <w:rsid w:val="00470E1A"/>
    <w:rsid w:val="00473FB7"/>
    <w:rsid w:val="004747A0"/>
    <w:rsid w:val="00475E3A"/>
    <w:rsid w:val="00482E74"/>
    <w:rsid w:val="00491CFA"/>
    <w:rsid w:val="00494710"/>
    <w:rsid w:val="00496F42"/>
    <w:rsid w:val="004978AD"/>
    <w:rsid w:val="004A0B49"/>
    <w:rsid w:val="004A4836"/>
    <w:rsid w:val="004A6226"/>
    <w:rsid w:val="004B0EE6"/>
    <w:rsid w:val="004B63AC"/>
    <w:rsid w:val="004C02EC"/>
    <w:rsid w:val="004C1A21"/>
    <w:rsid w:val="004C3160"/>
    <w:rsid w:val="004C35B2"/>
    <w:rsid w:val="004D1302"/>
    <w:rsid w:val="004D5BE5"/>
    <w:rsid w:val="004E1E54"/>
    <w:rsid w:val="004E225E"/>
    <w:rsid w:val="004F4880"/>
    <w:rsid w:val="004F6D4C"/>
    <w:rsid w:val="004F77CB"/>
    <w:rsid w:val="00500B67"/>
    <w:rsid w:val="00502DAC"/>
    <w:rsid w:val="005106E8"/>
    <w:rsid w:val="005117E3"/>
    <w:rsid w:val="00520735"/>
    <w:rsid w:val="0053238E"/>
    <w:rsid w:val="00534EB6"/>
    <w:rsid w:val="005376CA"/>
    <w:rsid w:val="00540686"/>
    <w:rsid w:val="00541464"/>
    <w:rsid w:val="00542E6F"/>
    <w:rsid w:val="00544E33"/>
    <w:rsid w:val="00544E58"/>
    <w:rsid w:val="00550F70"/>
    <w:rsid w:val="005565E9"/>
    <w:rsid w:val="005668BE"/>
    <w:rsid w:val="00570AED"/>
    <w:rsid w:val="00573306"/>
    <w:rsid w:val="005758D2"/>
    <w:rsid w:val="00576CCF"/>
    <w:rsid w:val="0058194F"/>
    <w:rsid w:val="00586CF7"/>
    <w:rsid w:val="00590A83"/>
    <w:rsid w:val="0059207E"/>
    <w:rsid w:val="00594DAC"/>
    <w:rsid w:val="00595377"/>
    <w:rsid w:val="005A1041"/>
    <w:rsid w:val="005A3365"/>
    <w:rsid w:val="005A3D3C"/>
    <w:rsid w:val="005A4D28"/>
    <w:rsid w:val="005B2F8C"/>
    <w:rsid w:val="005C302B"/>
    <w:rsid w:val="005C5152"/>
    <w:rsid w:val="005C7C60"/>
    <w:rsid w:val="005D0816"/>
    <w:rsid w:val="005D2D7A"/>
    <w:rsid w:val="005D66AB"/>
    <w:rsid w:val="005E04AB"/>
    <w:rsid w:val="005E5EC0"/>
    <w:rsid w:val="005F0B4B"/>
    <w:rsid w:val="005F1786"/>
    <w:rsid w:val="005F252B"/>
    <w:rsid w:val="005F2D5F"/>
    <w:rsid w:val="005F4E21"/>
    <w:rsid w:val="00610A2D"/>
    <w:rsid w:val="006141E5"/>
    <w:rsid w:val="00634FA9"/>
    <w:rsid w:val="00640A75"/>
    <w:rsid w:val="00643642"/>
    <w:rsid w:val="00645D50"/>
    <w:rsid w:val="006519D7"/>
    <w:rsid w:val="00656DD4"/>
    <w:rsid w:val="00661EBB"/>
    <w:rsid w:val="00663924"/>
    <w:rsid w:val="006754E8"/>
    <w:rsid w:val="00683477"/>
    <w:rsid w:val="006A53BA"/>
    <w:rsid w:val="006B1D31"/>
    <w:rsid w:val="006B423C"/>
    <w:rsid w:val="006C4799"/>
    <w:rsid w:val="006C5F4C"/>
    <w:rsid w:val="006C5FD2"/>
    <w:rsid w:val="006E1287"/>
    <w:rsid w:val="006E1919"/>
    <w:rsid w:val="006E1E20"/>
    <w:rsid w:val="006E4A18"/>
    <w:rsid w:val="006E76C9"/>
    <w:rsid w:val="006E79DB"/>
    <w:rsid w:val="006F1B7B"/>
    <w:rsid w:val="006F22EC"/>
    <w:rsid w:val="006F5688"/>
    <w:rsid w:val="00705E32"/>
    <w:rsid w:val="0070775C"/>
    <w:rsid w:val="00713A27"/>
    <w:rsid w:val="0071665D"/>
    <w:rsid w:val="00716909"/>
    <w:rsid w:val="0072008C"/>
    <w:rsid w:val="00737506"/>
    <w:rsid w:val="00740716"/>
    <w:rsid w:val="00742F66"/>
    <w:rsid w:val="007432AD"/>
    <w:rsid w:val="00755234"/>
    <w:rsid w:val="0076385B"/>
    <w:rsid w:val="00763C24"/>
    <w:rsid w:val="007649A1"/>
    <w:rsid w:val="00772928"/>
    <w:rsid w:val="00773649"/>
    <w:rsid w:val="007772E3"/>
    <w:rsid w:val="00783E8F"/>
    <w:rsid w:val="00790147"/>
    <w:rsid w:val="00790E91"/>
    <w:rsid w:val="007A2961"/>
    <w:rsid w:val="007A3BC4"/>
    <w:rsid w:val="007A40B2"/>
    <w:rsid w:val="007A6605"/>
    <w:rsid w:val="007A7FA3"/>
    <w:rsid w:val="007B75E6"/>
    <w:rsid w:val="007C1E40"/>
    <w:rsid w:val="007D4F90"/>
    <w:rsid w:val="007D671F"/>
    <w:rsid w:val="007E3FA7"/>
    <w:rsid w:val="007E4B9B"/>
    <w:rsid w:val="007E51BF"/>
    <w:rsid w:val="007F661A"/>
    <w:rsid w:val="00802278"/>
    <w:rsid w:val="00802606"/>
    <w:rsid w:val="008126E9"/>
    <w:rsid w:val="008237F6"/>
    <w:rsid w:val="008274FF"/>
    <w:rsid w:val="00827858"/>
    <w:rsid w:val="00836860"/>
    <w:rsid w:val="0084017D"/>
    <w:rsid w:val="008415C4"/>
    <w:rsid w:val="0084244C"/>
    <w:rsid w:val="0084309C"/>
    <w:rsid w:val="008433D6"/>
    <w:rsid w:val="00852196"/>
    <w:rsid w:val="0086224D"/>
    <w:rsid w:val="008645D7"/>
    <w:rsid w:val="00864B67"/>
    <w:rsid w:val="008667B1"/>
    <w:rsid w:val="0087190E"/>
    <w:rsid w:val="00880DF2"/>
    <w:rsid w:val="008918C8"/>
    <w:rsid w:val="00891F33"/>
    <w:rsid w:val="00894241"/>
    <w:rsid w:val="0089447F"/>
    <w:rsid w:val="00897B7A"/>
    <w:rsid w:val="008A5125"/>
    <w:rsid w:val="008C2B5F"/>
    <w:rsid w:val="008C5F0D"/>
    <w:rsid w:val="008D4560"/>
    <w:rsid w:val="008D5F35"/>
    <w:rsid w:val="008E2561"/>
    <w:rsid w:val="008E262F"/>
    <w:rsid w:val="008E6EBB"/>
    <w:rsid w:val="008F65B7"/>
    <w:rsid w:val="008F671A"/>
    <w:rsid w:val="009022C6"/>
    <w:rsid w:val="00905970"/>
    <w:rsid w:val="00907377"/>
    <w:rsid w:val="009106E6"/>
    <w:rsid w:val="00914297"/>
    <w:rsid w:val="00914F51"/>
    <w:rsid w:val="00921FD3"/>
    <w:rsid w:val="009220D7"/>
    <w:rsid w:val="00924531"/>
    <w:rsid w:val="0092532C"/>
    <w:rsid w:val="00927174"/>
    <w:rsid w:val="00931697"/>
    <w:rsid w:val="00940A26"/>
    <w:rsid w:val="00942939"/>
    <w:rsid w:val="00946C9F"/>
    <w:rsid w:val="00951861"/>
    <w:rsid w:val="00954CC3"/>
    <w:rsid w:val="00956C67"/>
    <w:rsid w:val="00956ED1"/>
    <w:rsid w:val="00957BDD"/>
    <w:rsid w:val="00972BC1"/>
    <w:rsid w:val="00983DB2"/>
    <w:rsid w:val="00986B43"/>
    <w:rsid w:val="00992F13"/>
    <w:rsid w:val="009931E1"/>
    <w:rsid w:val="00994AF2"/>
    <w:rsid w:val="009950D3"/>
    <w:rsid w:val="009977D9"/>
    <w:rsid w:val="00997A69"/>
    <w:rsid w:val="00997B05"/>
    <w:rsid w:val="009A31A2"/>
    <w:rsid w:val="009B0C2F"/>
    <w:rsid w:val="009B15CE"/>
    <w:rsid w:val="009B4822"/>
    <w:rsid w:val="009B5355"/>
    <w:rsid w:val="009B535D"/>
    <w:rsid w:val="009C163C"/>
    <w:rsid w:val="009C5090"/>
    <w:rsid w:val="009D090D"/>
    <w:rsid w:val="009D6CFB"/>
    <w:rsid w:val="009F14B2"/>
    <w:rsid w:val="00A00CBC"/>
    <w:rsid w:val="00A05561"/>
    <w:rsid w:val="00A12D64"/>
    <w:rsid w:val="00A20D01"/>
    <w:rsid w:val="00A247A6"/>
    <w:rsid w:val="00A263B1"/>
    <w:rsid w:val="00A26748"/>
    <w:rsid w:val="00A30CF7"/>
    <w:rsid w:val="00A405ED"/>
    <w:rsid w:val="00A40F8C"/>
    <w:rsid w:val="00A41201"/>
    <w:rsid w:val="00A42E9D"/>
    <w:rsid w:val="00A66AB0"/>
    <w:rsid w:val="00A7358D"/>
    <w:rsid w:val="00A75153"/>
    <w:rsid w:val="00A762DA"/>
    <w:rsid w:val="00A76CD7"/>
    <w:rsid w:val="00A81B9E"/>
    <w:rsid w:val="00A9446C"/>
    <w:rsid w:val="00AA3578"/>
    <w:rsid w:val="00AA410E"/>
    <w:rsid w:val="00AA591D"/>
    <w:rsid w:val="00AB27C8"/>
    <w:rsid w:val="00AB7435"/>
    <w:rsid w:val="00AC17F8"/>
    <w:rsid w:val="00AC5770"/>
    <w:rsid w:val="00AC6DF0"/>
    <w:rsid w:val="00AD053A"/>
    <w:rsid w:val="00AD2763"/>
    <w:rsid w:val="00AD42F8"/>
    <w:rsid w:val="00AD5DF9"/>
    <w:rsid w:val="00AE3255"/>
    <w:rsid w:val="00AE51F8"/>
    <w:rsid w:val="00AF2046"/>
    <w:rsid w:val="00AF33A6"/>
    <w:rsid w:val="00AF4937"/>
    <w:rsid w:val="00AF7E94"/>
    <w:rsid w:val="00B076C0"/>
    <w:rsid w:val="00B1005A"/>
    <w:rsid w:val="00B1159C"/>
    <w:rsid w:val="00B15E77"/>
    <w:rsid w:val="00B17909"/>
    <w:rsid w:val="00B17E06"/>
    <w:rsid w:val="00B26B62"/>
    <w:rsid w:val="00B37EEA"/>
    <w:rsid w:val="00B45E2A"/>
    <w:rsid w:val="00B4618E"/>
    <w:rsid w:val="00B5628B"/>
    <w:rsid w:val="00B630D3"/>
    <w:rsid w:val="00B67B9E"/>
    <w:rsid w:val="00B72486"/>
    <w:rsid w:val="00B871D9"/>
    <w:rsid w:val="00B8774E"/>
    <w:rsid w:val="00B91AC1"/>
    <w:rsid w:val="00B94730"/>
    <w:rsid w:val="00BA087C"/>
    <w:rsid w:val="00BA2B93"/>
    <w:rsid w:val="00BB00A2"/>
    <w:rsid w:val="00BB5A2E"/>
    <w:rsid w:val="00BB6571"/>
    <w:rsid w:val="00BC2680"/>
    <w:rsid w:val="00BC303F"/>
    <w:rsid w:val="00BC6216"/>
    <w:rsid w:val="00BC6ADB"/>
    <w:rsid w:val="00BD5B4B"/>
    <w:rsid w:val="00BD6F06"/>
    <w:rsid w:val="00BE02CE"/>
    <w:rsid w:val="00BE14A8"/>
    <w:rsid w:val="00BE3982"/>
    <w:rsid w:val="00BE3F7B"/>
    <w:rsid w:val="00BF3ECB"/>
    <w:rsid w:val="00C05CFB"/>
    <w:rsid w:val="00C05E58"/>
    <w:rsid w:val="00C12988"/>
    <w:rsid w:val="00C1506D"/>
    <w:rsid w:val="00C15462"/>
    <w:rsid w:val="00C165A5"/>
    <w:rsid w:val="00C249A1"/>
    <w:rsid w:val="00C30927"/>
    <w:rsid w:val="00C31D1F"/>
    <w:rsid w:val="00C3455A"/>
    <w:rsid w:val="00C3515F"/>
    <w:rsid w:val="00C371AB"/>
    <w:rsid w:val="00C509DC"/>
    <w:rsid w:val="00C515B8"/>
    <w:rsid w:val="00C570D1"/>
    <w:rsid w:val="00C572B1"/>
    <w:rsid w:val="00C578EF"/>
    <w:rsid w:val="00C620A4"/>
    <w:rsid w:val="00C62FCD"/>
    <w:rsid w:val="00C649CD"/>
    <w:rsid w:val="00CA23DA"/>
    <w:rsid w:val="00CA4083"/>
    <w:rsid w:val="00CA49D3"/>
    <w:rsid w:val="00CC0686"/>
    <w:rsid w:val="00CD179E"/>
    <w:rsid w:val="00CD4B7C"/>
    <w:rsid w:val="00CE00DA"/>
    <w:rsid w:val="00CF2162"/>
    <w:rsid w:val="00D0131E"/>
    <w:rsid w:val="00D015E0"/>
    <w:rsid w:val="00D04215"/>
    <w:rsid w:val="00D1583E"/>
    <w:rsid w:val="00D16E49"/>
    <w:rsid w:val="00D20E6C"/>
    <w:rsid w:val="00D20F63"/>
    <w:rsid w:val="00D3139F"/>
    <w:rsid w:val="00D4026B"/>
    <w:rsid w:val="00D43B05"/>
    <w:rsid w:val="00D4739F"/>
    <w:rsid w:val="00D507EE"/>
    <w:rsid w:val="00D50DDC"/>
    <w:rsid w:val="00D51B8A"/>
    <w:rsid w:val="00D53388"/>
    <w:rsid w:val="00D5466F"/>
    <w:rsid w:val="00D637A6"/>
    <w:rsid w:val="00D70EBF"/>
    <w:rsid w:val="00D76A5D"/>
    <w:rsid w:val="00D833D1"/>
    <w:rsid w:val="00D847B1"/>
    <w:rsid w:val="00D87EC4"/>
    <w:rsid w:val="00D96F3A"/>
    <w:rsid w:val="00DA0CFA"/>
    <w:rsid w:val="00DA7523"/>
    <w:rsid w:val="00DB30BF"/>
    <w:rsid w:val="00DB7BED"/>
    <w:rsid w:val="00DD3473"/>
    <w:rsid w:val="00DD502A"/>
    <w:rsid w:val="00DD578A"/>
    <w:rsid w:val="00DE001E"/>
    <w:rsid w:val="00DE787F"/>
    <w:rsid w:val="00DF3D48"/>
    <w:rsid w:val="00DF4166"/>
    <w:rsid w:val="00E03D68"/>
    <w:rsid w:val="00E1175E"/>
    <w:rsid w:val="00E26B15"/>
    <w:rsid w:val="00E27304"/>
    <w:rsid w:val="00E313D9"/>
    <w:rsid w:val="00E35D92"/>
    <w:rsid w:val="00E374D5"/>
    <w:rsid w:val="00E37639"/>
    <w:rsid w:val="00E4463F"/>
    <w:rsid w:val="00E46122"/>
    <w:rsid w:val="00E56242"/>
    <w:rsid w:val="00E646C7"/>
    <w:rsid w:val="00E750C1"/>
    <w:rsid w:val="00E7518F"/>
    <w:rsid w:val="00E81762"/>
    <w:rsid w:val="00E87502"/>
    <w:rsid w:val="00E96EBF"/>
    <w:rsid w:val="00EA0098"/>
    <w:rsid w:val="00EA016D"/>
    <w:rsid w:val="00EA2CFB"/>
    <w:rsid w:val="00EA5586"/>
    <w:rsid w:val="00EC0EE2"/>
    <w:rsid w:val="00EC152C"/>
    <w:rsid w:val="00EC1935"/>
    <w:rsid w:val="00EC34B8"/>
    <w:rsid w:val="00EC540C"/>
    <w:rsid w:val="00EC72BA"/>
    <w:rsid w:val="00ED4805"/>
    <w:rsid w:val="00ED6454"/>
    <w:rsid w:val="00ED6A10"/>
    <w:rsid w:val="00ED7794"/>
    <w:rsid w:val="00EF07A7"/>
    <w:rsid w:val="00EF1C2A"/>
    <w:rsid w:val="00EF66A8"/>
    <w:rsid w:val="00EF7FFE"/>
    <w:rsid w:val="00F06145"/>
    <w:rsid w:val="00F10E12"/>
    <w:rsid w:val="00F1307B"/>
    <w:rsid w:val="00F2157A"/>
    <w:rsid w:val="00F245B4"/>
    <w:rsid w:val="00F35372"/>
    <w:rsid w:val="00F37E5F"/>
    <w:rsid w:val="00F41393"/>
    <w:rsid w:val="00F4668E"/>
    <w:rsid w:val="00F54B50"/>
    <w:rsid w:val="00F603E4"/>
    <w:rsid w:val="00F6553F"/>
    <w:rsid w:val="00F7467D"/>
    <w:rsid w:val="00F80106"/>
    <w:rsid w:val="00F815D0"/>
    <w:rsid w:val="00F82311"/>
    <w:rsid w:val="00F83ECF"/>
    <w:rsid w:val="00F9078F"/>
    <w:rsid w:val="00FA0FC5"/>
    <w:rsid w:val="00FC2D5A"/>
    <w:rsid w:val="00FC3449"/>
    <w:rsid w:val="00FC44CB"/>
    <w:rsid w:val="00FC5087"/>
    <w:rsid w:val="00FC6062"/>
    <w:rsid w:val="00FC792C"/>
    <w:rsid w:val="00FD3B1E"/>
    <w:rsid w:val="00FD73F8"/>
    <w:rsid w:val="00FE0C95"/>
    <w:rsid w:val="00FE13E3"/>
    <w:rsid w:val="00FE24CA"/>
    <w:rsid w:val="00FE3150"/>
    <w:rsid w:val="00FE626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7B784"/>
  <w15:chartTrackingRefBased/>
  <w15:docId w15:val="{F8768C35-BCFF-4978-95F1-7A3BAD2D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D53388"/>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2"/>
    <w:qFormat/>
    <w:rsid w:val="00135F60"/>
    <w:pPr>
      <w:keepNext/>
      <w:keepLines/>
      <w:suppressAutoHyphens/>
      <w:spacing w:after="0" w:line="240" w:lineRule="auto"/>
      <w:outlineLvl w:val="0"/>
    </w:pPr>
    <w:rPr>
      <w:color w:val="22272B" w:themeColor="text1"/>
      <w:sz w:val="36"/>
    </w:rPr>
  </w:style>
  <w:style w:type="paragraph" w:styleId="Heading2">
    <w:name w:val="heading 2"/>
    <w:next w:val="BodyText"/>
    <w:link w:val="Heading2Char"/>
    <w:uiPriority w:val="9"/>
    <w:qFormat/>
    <w:rsid w:val="005565E9"/>
    <w:pPr>
      <w:keepNext/>
      <w:keepLines/>
      <w:pBdr>
        <w:top w:val="single" w:sz="4" w:space="8" w:color="22272B" w:themeColor="text1"/>
      </w:pBdr>
      <w:suppressAutoHyphens/>
      <w:spacing w:before="240" w:after="240" w:line="240" w:lineRule="auto"/>
      <w:outlineLvl w:val="1"/>
    </w:pPr>
    <w:rPr>
      <w:color w:val="22272B" w:themeColor="text1"/>
      <w:sz w:val="28"/>
    </w:rPr>
  </w:style>
  <w:style w:type="paragraph" w:styleId="Heading3">
    <w:name w:val="heading 3"/>
    <w:basedOn w:val="BodyText"/>
    <w:next w:val="BodyText"/>
    <w:link w:val="Heading3Char"/>
    <w:uiPriority w:val="9"/>
    <w:qFormat/>
    <w:rsid w:val="005565E9"/>
    <w:pPr>
      <w:outlineLvl w:val="2"/>
    </w:pPr>
    <w:rPr>
      <w:rFonts w:asciiTheme="majorHAnsi" w:hAnsiTheme="majorHAnsi"/>
      <w:sz w:val="24"/>
      <w:szCs w:val="24"/>
    </w:rPr>
  </w:style>
  <w:style w:type="paragraph" w:styleId="Heading4">
    <w:name w:val="heading 4"/>
    <w:next w:val="BodyText"/>
    <w:link w:val="Heading4Char"/>
    <w:uiPriority w:val="9"/>
    <w:rsid w:val="005565E9"/>
    <w:pPr>
      <w:keepNext/>
      <w:keepLines/>
      <w:suppressAutoHyphens/>
      <w:spacing w:before="120" w:after="120" w:line="240" w:lineRule="auto"/>
      <w:outlineLvl w:val="3"/>
    </w:pPr>
    <w:rPr>
      <w:rFonts w:asciiTheme="majorHAnsi" w:eastAsiaTheme="majorEastAsia" w:hAnsiTheme="majorHAnsi" w:cstheme="majorBidi"/>
      <w:iCs/>
      <w:color w:val="22272B"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EBEBEB"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2"/>
    <w:rsid w:val="00B67B9E"/>
    <w:rPr>
      <w:color w:val="22272B" w:themeColor="text1"/>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C165A5"/>
    <w:rPr>
      <w:color w:val="22272B" w:themeColor="text1"/>
      <w:sz w:val="18"/>
    </w:rPr>
  </w:style>
  <w:style w:type="paragraph" w:styleId="Footer">
    <w:name w:val="footer"/>
    <w:link w:val="FooterChar"/>
    <w:uiPriority w:val="99"/>
    <w:rsid w:val="004F6D4C"/>
    <w:pPr>
      <w:tabs>
        <w:tab w:val="left" w:pos="2552"/>
        <w:tab w:val="left" w:pos="6237"/>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4F6D4C"/>
    <w:rPr>
      <w:color w:val="22272B" w:themeColor="text1"/>
      <w:sz w:val="18"/>
    </w:rPr>
  </w:style>
  <w:style w:type="character" w:styleId="PlaceholderText">
    <w:name w:val="Placeholder Text"/>
    <w:basedOn w:val="DefaultParagraphFont"/>
    <w:uiPriority w:val="99"/>
    <w:semiHidden/>
    <w:rsid w:val="004F77CB"/>
    <w:rPr>
      <w:color w:val="808080"/>
    </w:rPr>
  </w:style>
  <w:style w:type="paragraph" w:styleId="Date">
    <w:name w:val="Date"/>
    <w:link w:val="DateChar"/>
    <w:uiPriority w:val="3"/>
    <w:qFormat/>
    <w:rsid w:val="000E2ED1"/>
    <w:pPr>
      <w:spacing w:before="360" w:after="360" w:line="240" w:lineRule="auto"/>
      <w:contextualSpacing/>
    </w:pPr>
    <w:rPr>
      <w:rFonts w:asciiTheme="majorHAnsi" w:eastAsia="Calibri" w:hAnsiTheme="majorHAnsi" w:cs="Calibri"/>
      <w:color w:val="22272B" w:themeColor="text1"/>
      <w:szCs w:val="20"/>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uiPriority w:val="10"/>
    <w:qFormat/>
    <w:rsid w:val="00F54B50"/>
    <w:pPr>
      <w:numPr>
        <w:numId w:val="25"/>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7A3BC4"/>
    <w:pPr>
      <w:numPr>
        <w:numId w:val="26"/>
      </w:numPr>
      <w:suppressAutoHyphens/>
      <w:spacing w:before="120" w:after="120" w:line="240" w:lineRule="auto"/>
    </w:pPr>
    <w:rPr>
      <w:color w:val="22272B" w:themeColor="text1"/>
    </w:rPr>
  </w:style>
  <w:style w:type="paragraph" w:styleId="FootnoteText">
    <w:name w:val="footnote text"/>
    <w:link w:val="FootnoteTextChar"/>
    <w:uiPriority w:val="99"/>
    <w:semiHidden/>
    <w:rsid w:val="004F77CB"/>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semiHidden/>
    <w:rsid w:val="004F77CB"/>
    <w:rPr>
      <w:color w:val="22272B"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4F6D4C"/>
    <w:pPr>
      <w:suppressAutoHyphens/>
      <w:spacing w:before="120" w:after="120" w:line="240" w:lineRule="auto"/>
    </w:pPr>
    <w:rPr>
      <w:color w:val="22272B" w:themeColor="text1"/>
    </w:rPr>
  </w:style>
  <w:style w:type="character" w:customStyle="1" w:styleId="BodyTextChar">
    <w:name w:val="Body Text Char"/>
    <w:basedOn w:val="DefaultParagraphFont"/>
    <w:link w:val="BodyText"/>
    <w:rsid w:val="004F6D4C"/>
    <w:rPr>
      <w:color w:val="22272B" w:themeColor="text1"/>
    </w:rPr>
  </w:style>
  <w:style w:type="character" w:customStyle="1" w:styleId="Heading2Char">
    <w:name w:val="Heading 2 Char"/>
    <w:basedOn w:val="DefaultParagraphFont"/>
    <w:link w:val="Heading2"/>
    <w:uiPriority w:val="9"/>
    <w:rsid w:val="005565E9"/>
    <w:rPr>
      <w:color w:val="22272B" w:themeColor="text1"/>
      <w:sz w:val="28"/>
    </w:rPr>
  </w:style>
  <w:style w:type="character" w:customStyle="1" w:styleId="Heading3Char">
    <w:name w:val="Heading 3 Char"/>
    <w:basedOn w:val="DefaultParagraphFont"/>
    <w:link w:val="Heading3"/>
    <w:uiPriority w:val="9"/>
    <w:rsid w:val="005565E9"/>
    <w:rPr>
      <w:rFonts w:asciiTheme="majorHAnsi" w:hAnsiTheme="majorHAnsi"/>
      <w:color w:val="22272B" w:themeColor="text1"/>
      <w:sz w:val="24"/>
      <w:szCs w:val="24"/>
    </w:rPr>
  </w:style>
  <w:style w:type="character" w:customStyle="1" w:styleId="Heading4Char">
    <w:name w:val="Heading 4 Char"/>
    <w:basedOn w:val="DefaultParagraphFont"/>
    <w:link w:val="Heading4"/>
    <w:uiPriority w:val="9"/>
    <w:rsid w:val="005565E9"/>
    <w:rPr>
      <w:rFonts w:asciiTheme="majorHAnsi" w:eastAsiaTheme="majorEastAsia" w:hAnsiTheme="majorHAnsi" w:cstheme="majorBidi"/>
      <w:iCs/>
      <w:color w:val="22272B"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EBEBEB"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4F77CB"/>
    <w:rPr>
      <w:color w:val="22272B" w:themeColor="text1"/>
      <w:u w:val="single"/>
    </w:rPr>
  </w:style>
  <w:style w:type="paragraph" w:styleId="ListBullet2">
    <w:name w:val="List Bullet 2"/>
    <w:uiPriority w:val="10"/>
    <w:qFormat/>
    <w:rsid w:val="0059207E"/>
    <w:pPr>
      <w:numPr>
        <w:numId w:val="16"/>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59207E"/>
    <w:pPr>
      <w:numPr>
        <w:numId w:val="17"/>
      </w:numPr>
      <w:suppressAutoHyphens/>
      <w:spacing w:before="120" w:after="120" w:line="240" w:lineRule="auto"/>
      <w:ind w:left="1071" w:hanging="357"/>
    </w:pPr>
    <w:rPr>
      <w:rFonts w:eastAsia="Arial" w:cs="Times New Roman"/>
      <w:color w:val="22272B"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0"/>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59207E"/>
    <w:pPr>
      <w:numPr>
        <w:numId w:val="19"/>
      </w:numPr>
      <w:suppressAutoHyphens/>
      <w:spacing w:before="120" w:after="120" w:line="240" w:lineRule="auto"/>
    </w:pPr>
    <w:rPr>
      <w:rFonts w:eastAsia="Arial" w:cs="Times New Roman"/>
      <w:color w:val="22272B" w:themeColor="text1"/>
      <w:szCs w:val="24"/>
      <w:lang w:eastAsia="en-US"/>
    </w:rPr>
  </w:style>
  <w:style w:type="paragraph" w:customStyle="1" w:styleId="DescriptororName">
    <w:name w:val="Descriptor or Name"/>
    <w:next w:val="Normal"/>
    <w:uiPriority w:val="1"/>
    <w:qFormat/>
    <w:rsid w:val="00576CCF"/>
    <w:pPr>
      <w:tabs>
        <w:tab w:val="right" w:pos="10206"/>
      </w:tabs>
      <w:suppressAutoHyphens/>
      <w:spacing w:after="720" w:line="240" w:lineRule="auto"/>
      <w:ind w:right="1701"/>
      <w:contextualSpacing/>
    </w:pPr>
    <w:rPr>
      <w:rFonts w:asciiTheme="majorHAnsi" w:hAnsiTheme="majorHAnsi"/>
      <w:color w:val="22272B" w:themeColor="text1"/>
      <w:sz w:val="28"/>
    </w:rPr>
  </w:style>
  <w:style w:type="character" w:customStyle="1" w:styleId="BoldItalic">
    <w:name w:val="Bold Italic"/>
    <w:basedOn w:val="DefaultParagraphFont"/>
    <w:uiPriority w:val="22"/>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146CFD" w:themeColor="accent2"/>
        <w:left w:val="single" w:sz="4" w:space="0" w:color="146CFD" w:themeColor="accent2"/>
        <w:bottom w:val="single" w:sz="4" w:space="0" w:color="146CFD" w:themeColor="accent2"/>
        <w:right w:val="single" w:sz="4" w:space="0" w:color="146CFD" w:themeColor="accent2"/>
      </w:tblBorders>
    </w:tblPr>
    <w:tblStylePr w:type="firstRow">
      <w:rPr>
        <w:b/>
        <w:bCs/>
        <w:color w:val="FFFFFF" w:themeColor="background1"/>
      </w:rPr>
      <w:tblPr/>
      <w:tcPr>
        <w:shd w:val="clear" w:color="auto" w:fill="146CFD" w:themeFill="accent2"/>
      </w:tcPr>
    </w:tblStylePr>
    <w:tblStylePr w:type="lastRow">
      <w:rPr>
        <w:b/>
        <w:bCs/>
      </w:rPr>
      <w:tblPr/>
      <w:tcPr>
        <w:tcBorders>
          <w:top w:val="double" w:sz="4" w:space="0" w:color="146CF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6CFD" w:themeColor="accent2"/>
          <w:right w:val="single" w:sz="4" w:space="0" w:color="146CFD" w:themeColor="accent2"/>
        </w:tcBorders>
      </w:tcPr>
    </w:tblStylePr>
    <w:tblStylePr w:type="band1Horz">
      <w:tblPr/>
      <w:tcPr>
        <w:tcBorders>
          <w:top w:val="single" w:sz="4" w:space="0" w:color="146CFD" w:themeColor="accent2"/>
          <w:bottom w:val="single" w:sz="4" w:space="0" w:color="146CF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6CFD" w:themeColor="accent2"/>
          <w:left w:val="nil"/>
        </w:tcBorders>
      </w:tcPr>
    </w:tblStylePr>
    <w:tblStylePr w:type="swCell">
      <w:tblPr/>
      <w:tcPr>
        <w:tcBorders>
          <w:top w:val="double" w:sz="4" w:space="0" w:color="146CFD"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firstCol">
      <w:rPr>
        <w:b w:val="0"/>
        <w:bCs/>
      </w:rPr>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lastCol">
      <w:rPr>
        <w:b w:val="0"/>
        <w:bCs/>
      </w:rPr>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band1Vert">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band2Vert">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band1Horz">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band2Horz">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swCell">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character" w:customStyle="1" w:styleId="DateChar">
    <w:name w:val="Date Char"/>
    <w:basedOn w:val="DefaultParagraphFont"/>
    <w:link w:val="Date"/>
    <w:uiPriority w:val="3"/>
    <w:rsid w:val="000E2ED1"/>
    <w:rPr>
      <w:rFonts w:asciiTheme="majorHAnsi" w:eastAsia="Calibri" w:hAnsiTheme="majorHAnsi" w:cs="Calibri"/>
      <w:color w:val="22272B" w:themeColor="text1"/>
      <w:szCs w:val="20"/>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D7153A" w:themeColor="text2"/>
    </w:rPr>
  </w:style>
  <w:style w:type="character" w:customStyle="1" w:styleId="PublicSansLight">
    <w:name w:val="Public Sans Light"/>
    <w:basedOn w:val="DefaultParagraphFont"/>
    <w:uiPriority w:val="19"/>
    <w:qFormat/>
    <w:rsid w:val="00116733"/>
    <w:rPr>
      <w:rFonts w:asciiTheme="minorHAnsi" w:hAnsiTheme="minorHAnsi"/>
    </w:rPr>
  </w:style>
  <w:style w:type="paragraph" w:customStyle="1" w:styleId="DocumentType">
    <w:name w:val="Document Type"/>
    <w:next w:val="Heading1"/>
    <w:uiPriority w:val="2"/>
    <w:qFormat/>
    <w:rsid w:val="00927174"/>
    <w:pPr>
      <w:suppressAutoHyphens/>
      <w:spacing w:after="0" w:line="240" w:lineRule="auto"/>
      <w:contextualSpacing/>
    </w:pPr>
    <w:rPr>
      <w:rFonts w:asciiTheme="majorHAnsi" w:hAnsiTheme="majorHAnsi"/>
      <w:color w:val="22272B" w:themeColor="text1"/>
      <w:sz w:val="36"/>
    </w:rPr>
  </w:style>
  <w:style w:type="paragraph" w:styleId="ListParagraph">
    <w:name w:val="List Paragraph"/>
    <w:aliases w:val="Bullet List Paragraph"/>
    <w:basedOn w:val="Normal"/>
    <w:link w:val="ListParagraphChar"/>
    <w:uiPriority w:val="34"/>
    <w:qFormat/>
    <w:rsid w:val="00737506"/>
    <w:pPr>
      <w:spacing w:before="60" w:after="120"/>
      <w:ind w:left="720"/>
      <w:contextualSpacing/>
    </w:pPr>
    <w:rPr>
      <w:rFonts w:asciiTheme="minorHAnsi" w:eastAsia="MS Mincho" w:hAnsiTheme="minorHAnsi" w:cs="Times New Roman"/>
      <w:color w:val="auto"/>
      <w:sz w:val="22"/>
      <w:szCs w:val="22"/>
      <w:lang w:eastAsia="en-US"/>
    </w:rPr>
  </w:style>
  <w:style w:type="character" w:customStyle="1" w:styleId="ListParagraphChar">
    <w:name w:val="List Paragraph Char"/>
    <w:aliases w:val="Bullet List Paragraph Char"/>
    <w:basedOn w:val="DefaultParagraphFont"/>
    <w:link w:val="ListParagraph"/>
    <w:uiPriority w:val="34"/>
    <w:locked/>
    <w:rsid w:val="00737506"/>
    <w:rPr>
      <w:rFonts w:eastAsia="MS Mincho" w:cs="Times New Roman"/>
      <w:lang w:eastAsia="en-US"/>
    </w:rPr>
  </w:style>
  <w:style w:type="paragraph" w:styleId="Revision">
    <w:name w:val="Revision"/>
    <w:hidden/>
    <w:uiPriority w:val="99"/>
    <w:semiHidden/>
    <w:rsid w:val="00C3515F"/>
    <w:pPr>
      <w:spacing w:after="0" w:line="240" w:lineRule="auto"/>
    </w:pPr>
    <w:rPr>
      <w:rFonts w:ascii="Calibri" w:eastAsia="Calibri" w:hAnsi="Calibri" w:cs="Calibri"/>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5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mcintosh\Downloads\nswgov_masterbrand_agenda_wdescriptor_may_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41A095B09A4E82A750717A51CD809D"/>
        <w:category>
          <w:name w:val="General"/>
          <w:gallery w:val="placeholder"/>
        </w:category>
        <w:types>
          <w:type w:val="bbPlcHdr"/>
        </w:types>
        <w:behaviors>
          <w:behavior w:val="content"/>
        </w:behaviors>
        <w:guid w:val="{BC897ADB-17F0-48F4-AC6E-0B6CA8E3742C}"/>
      </w:docPartPr>
      <w:docPartBody>
        <w:p w:rsidR="00A518BD" w:rsidRDefault="00A518BD">
          <w:pPr>
            <w:pStyle w:val="5B41A095B09A4E82A750717A51CD809D"/>
          </w:pPr>
          <w:r w:rsidRPr="005C68F6">
            <w:rPr>
              <w:rStyle w:val="PlaceholderText"/>
            </w:rPr>
            <w:t>Click or tap here to enter text.</w:t>
          </w:r>
        </w:p>
      </w:docPartBody>
    </w:docPart>
    <w:docPart>
      <w:docPartPr>
        <w:name w:val="6ACFCFE8E0C240108AC9C4995EFBB9AA"/>
        <w:category>
          <w:name w:val="General"/>
          <w:gallery w:val="placeholder"/>
        </w:category>
        <w:types>
          <w:type w:val="bbPlcHdr"/>
        </w:types>
        <w:behaviors>
          <w:behavior w:val="content"/>
        </w:behaviors>
        <w:guid w:val="{AA86E046-26E3-4548-B83C-898E04D46D12}"/>
      </w:docPartPr>
      <w:docPartBody>
        <w:p w:rsidR="00A518BD" w:rsidRDefault="00A518BD">
          <w:pPr>
            <w:pStyle w:val="6ACFCFE8E0C240108AC9C4995EFBB9AA"/>
          </w:pPr>
          <w:r w:rsidRPr="00194597">
            <w:rPr>
              <w:rStyle w:val="PlaceholderText"/>
            </w:rPr>
            <w:t>[</w:t>
          </w:r>
          <w:r w:rsidRPr="00956C67">
            <w:rPr>
              <w:rStyle w:val="PlaceholderText"/>
            </w:rPr>
            <w:t xml:space="preserve">Click here to enter </w:t>
          </w:r>
          <w:r>
            <w:rPr>
              <w:rStyle w:val="PlaceholderText"/>
            </w:rPr>
            <w:t xml:space="preserve">Document </w:t>
          </w:r>
          <w:r w:rsidRPr="00956C67">
            <w:rPr>
              <w:rStyle w:val="PlaceholderText"/>
            </w:rPr>
            <w:t>Title – 2 lines maximum</w:t>
          </w:r>
          <w:r>
            <w:rPr>
              <w:rStyle w:val="PlaceholderText"/>
            </w:rPr>
            <w:t>.</w:t>
          </w:r>
          <w:r w:rsidRPr="00194597">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altName w:val="Calibri"/>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8BD"/>
    <w:rsid w:val="000E179E"/>
    <w:rsid w:val="0010732A"/>
    <w:rsid w:val="00423102"/>
    <w:rsid w:val="00634FA9"/>
    <w:rsid w:val="00827858"/>
    <w:rsid w:val="00A518BD"/>
    <w:rsid w:val="00B17E06"/>
    <w:rsid w:val="00B630D3"/>
    <w:rsid w:val="00F4139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B41A095B09A4E82A750717A51CD809D">
    <w:name w:val="5B41A095B09A4E82A750717A51CD809D"/>
  </w:style>
  <w:style w:type="paragraph" w:customStyle="1" w:styleId="6ACFCFE8E0C240108AC9C4995EFBB9AA">
    <w:name w:val="6ACFCFE8E0C240108AC9C4995EFBB9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Doc_x0020_Type xmlns="0e5ca2ac-52ac-4627-b7a1-c043944a681f" xsi:nil="true"/>
    <Agency xmlns="0e5ca2ac-52ac-4627-b7a1-c043944a681f" xsi:nil="true"/>
    <lcf76f155ced4ddcb4097134ff3c332f xmlns="0e5ca2ac-52ac-4627-b7a1-c043944a681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0BE5B70DEDA6408497620D52615BE1" ma:contentTypeVersion="18" ma:contentTypeDescription="Create a new document." ma:contentTypeScope="" ma:versionID="d76d05939f9b4506d9dbbbe043d755c0">
  <xsd:schema xmlns:xsd="http://www.w3.org/2001/XMLSchema" xmlns:xs="http://www.w3.org/2001/XMLSchema" xmlns:p="http://schemas.microsoft.com/office/2006/metadata/properties" xmlns:ns2="0e5ca2ac-52ac-4627-b7a1-c043944a681f" xmlns:ns3="f48e437f-a151-4cc1-ac07-3f336c158a87" xmlns:ns4="9f0ac7ce-5f57-4ea0-9af7-01d4f3f1ccae" targetNamespace="http://schemas.microsoft.com/office/2006/metadata/properties" ma:root="true" ma:fieldsID="71f69f66ecb160b93f331cb0e0ab7237" ns2:_="" ns3:_="" ns4:_="">
    <xsd:import namespace="0e5ca2ac-52ac-4627-b7a1-c043944a681f"/>
    <xsd:import namespace="f48e437f-a151-4cc1-ac07-3f336c158a87"/>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oc_x0020_Type" minOccurs="0"/>
                <xsd:element ref="ns2:Agency"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ca2ac-52ac-4627-b7a1-c043944a68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_x0020_Type" ma:index="12" nillable="true" ma:displayName="Doc Type" ma:description="Proposal &#10;Effectiveness Report&#10;Email&#10;Other Attachment" ma:internalName="Doc_x0020_Type">
      <xsd:simpleType>
        <xsd:restriction base="dms:Text">
          <xsd:maxLength value="255"/>
        </xsd:restriction>
      </xsd:simpleType>
    </xsd:element>
    <xsd:element name="Agency" ma:index="13" nillable="true" ma:displayName="Agency" ma:format="Dropdown" ma:internalName="Agency">
      <xsd:simpleType>
        <xsd:restriction base="dms:Text">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8e437f-a151-4cc1-ac07-3f336c158a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02d7d576-7606-4ed1-b84b-0589de56a1e6}" ma:internalName="TaxCatchAll" ma:showField="CatchAllData" ma:web="f48e437f-a151-4cc1-ac07-3f336c158a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7958AC-8EE0-4E2F-867A-DEC99B8E7FD7}">
  <ds:schemaRefs>
    <ds:schemaRef ds:uri="http://schemas.openxmlformats.org/officeDocument/2006/bibliography"/>
  </ds:schemaRefs>
</ds:datastoreItem>
</file>

<file path=customXml/itemProps2.xml><?xml version="1.0" encoding="utf-8"?>
<ds:datastoreItem xmlns:ds="http://schemas.openxmlformats.org/officeDocument/2006/customXml" ds:itemID="{EC4D2B99-122F-4297-9B7A-330BF0FF1C1B}">
  <ds:schemaRefs>
    <ds:schemaRef ds:uri="http://schemas.microsoft.com/sharepoint/v3/contenttype/forms"/>
  </ds:schemaRefs>
</ds:datastoreItem>
</file>

<file path=customXml/itemProps3.xml><?xml version="1.0" encoding="utf-8"?>
<ds:datastoreItem xmlns:ds="http://schemas.openxmlformats.org/officeDocument/2006/customXml" ds:itemID="{0133D2A6-4B61-4EED-BDFE-6E7278BB4DE7}">
  <ds:schemaRefs>
    <ds:schemaRef ds:uri="http://schemas.microsoft.com/office/2006/metadata/properties"/>
    <ds:schemaRef ds:uri="http://schemas.microsoft.com/office/infopath/2007/PartnerControls"/>
    <ds:schemaRef ds:uri="9f0ac7ce-5f57-4ea0-9af7-01d4f3f1ccae"/>
    <ds:schemaRef ds:uri="0e5ca2ac-52ac-4627-b7a1-c043944a681f"/>
  </ds:schemaRefs>
</ds:datastoreItem>
</file>

<file path=customXml/itemProps4.xml><?xml version="1.0" encoding="utf-8"?>
<ds:datastoreItem xmlns:ds="http://schemas.openxmlformats.org/officeDocument/2006/customXml" ds:itemID="{1429582C-63E1-42C3-94A3-105AC5CFE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ca2ac-52ac-4627-b7a1-c043944a681f"/>
    <ds:schemaRef ds:uri="f48e437f-a151-4cc1-ac07-3f336c158a87"/>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709595-deb9-4ceb-bf06-8305974a2062}" enabled="1" method="Standard" siteId="{cb356782-ad9a-47fb-878b-7ebceb85b86c}" contentBits="2" removed="0"/>
</clbl:labelList>
</file>

<file path=docProps/app.xml><?xml version="1.0" encoding="utf-8"?>
<Properties xmlns="http://schemas.openxmlformats.org/officeDocument/2006/extended-properties" xmlns:vt="http://schemas.openxmlformats.org/officeDocument/2006/docPropsVTypes">
  <Template>nswgov_masterbrand_agenda_wdescriptor_may_2023</Template>
  <TotalTime>1</TotalTime>
  <Pages>7</Pages>
  <Words>2280</Words>
  <Characters>12997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Data dictionary</vt:lpstr>
    </vt:vector>
  </TitlesOfParts>
  <Company/>
  <LinksUpToDate>false</LinksUpToDate>
  <CharactersWithSpaces>15247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dictionary</dc:title>
  <dc:subject/>
  <dc:creator>Brandon McIntosh</dc:creator>
  <cp:keywords/>
  <dc:description/>
  <cp:lastModifiedBy>Mende Gorgievski</cp:lastModifiedBy>
  <cp:revision>2</cp:revision>
  <cp:lastPrinted>2022-02-08T07:22:00Z</cp:lastPrinted>
  <dcterms:created xsi:type="dcterms:W3CDTF">2025-06-12T04:10:00Z</dcterms:created>
  <dcterms:modified xsi:type="dcterms:W3CDTF">2025-06-12T04:10:00Z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3281a577,d3b2727,79ad5c5</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ies>
</file>